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74" w:rsidRDefault="00E56E74" w:rsidP="00E56E74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FF7A1D">
        <w:rPr>
          <w:rFonts w:ascii="Times New Roman" w:hAnsi="Times New Roman" w:cs="Times New Roman"/>
          <w:b/>
          <w:sz w:val="20"/>
          <w:szCs w:val="20"/>
        </w:rPr>
        <w:t>Scenario analyses on re</w:t>
      </w:r>
      <w:r w:rsidR="009B341C">
        <w:rPr>
          <w:rFonts w:ascii="Times New Roman" w:hAnsi="Times New Roman" w:cs="Times New Roman"/>
          <w:b/>
          <w:sz w:val="20"/>
          <w:szCs w:val="20"/>
        </w:rPr>
        <w:t>lative efficacy of diclofenac 150 and 10</w:t>
      </w:r>
      <w:r w:rsidRPr="00FF7A1D">
        <w:rPr>
          <w:rFonts w:ascii="Times New Roman" w:hAnsi="Times New Roman" w:cs="Times New Roman"/>
          <w:b/>
          <w:sz w:val="20"/>
          <w:szCs w:val="20"/>
        </w:rPr>
        <w:t>0 mg</w:t>
      </w:r>
    </w:p>
    <w:p w:rsidR="00246A87" w:rsidRPr="00406DCF" w:rsidRDefault="00246A87" w:rsidP="00E56E74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ightShading"/>
        <w:tblW w:w="5000" w:type="pct"/>
        <w:tblLayout w:type="fixed"/>
        <w:tblLook w:val="06A0" w:firstRow="1" w:lastRow="0" w:firstColumn="1" w:lastColumn="0" w:noHBand="1" w:noVBand="1"/>
      </w:tblPr>
      <w:tblGrid>
        <w:gridCol w:w="2527"/>
        <w:gridCol w:w="1542"/>
        <w:gridCol w:w="1302"/>
        <w:gridCol w:w="1307"/>
        <w:gridCol w:w="1170"/>
        <w:gridCol w:w="1439"/>
        <w:gridCol w:w="1170"/>
        <w:gridCol w:w="1531"/>
        <w:gridCol w:w="1188"/>
      </w:tblGrid>
      <w:tr w:rsidR="00E56E74" w:rsidRPr="00406DCF" w:rsidTr="00FA2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E56E74" w:rsidRPr="00210EC2" w:rsidRDefault="00246A87" w:rsidP="00692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Relative efficacy of diclofenac 150 mg versus other comparators</w:t>
            </w:r>
          </w:p>
        </w:tc>
        <w:tc>
          <w:tcPr>
            <w:tcW w:w="1079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E56E74" w:rsidRPr="00210EC2" w:rsidRDefault="00E56E74" w:rsidP="0069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Placebo</w:t>
            </w: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E56E74" w:rsidRPr="00210EC2" w:rsidRDefault="00E56E74" w:rsidP="0069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Naproxen 750 mg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E56E74" w:rsidRPr="00210EC2" w:rsidRDefault="00E56E74" w:rsidP="0069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Ibuprofen 1200 mg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E56E74" w:rsidRPr="00210EC2" w:rsidRDefault="00E56E74" w:rsidP="0069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Ibuprofen 2400 mg</w:t>
            </w:r>
          </w:p>
        </w:tc>
      </w:tr>
      <w:tr w:rsidR="00FA269C" w:rsidRPr="00406DCF" w:rsidTr="00FA269C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56E74" w:rsidRDefault="00E56E74" w:rsidP="000C04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Scenario 1 (exclusion of CSR </w:t>
            </w:r>
            <w:r w:rsidR="000C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150 mg better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150 mg better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150 mg better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150 mg better</w:t>
            </w:r>
          </w:p>
        </w:tc>
      </w:tr>
      <w:tr w:rsidR="00FA269C" w:rsidRPr="00406DCF" w:rsidTr="00FA269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E56E74" w:rsidRPr="00210EC2" w:rsidRDefault="00E56E74" w:rsidP="00176E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2 w</w:t>
            </w: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25.4;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8.0)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27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(-5.5; 4.6)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63%</w:t>
            </w:r>
          </w:p>
        </w:tc>
      </w:tr>
      <w:tr w:rsidR="00E56E74" w:rsidRPr="00406DCF" w:rsidTr="00FA269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il"/>
            </w:tcBorders>
            <w:noWrap/>
            <w:vAlign w:val="center"/>
          </w:tcPr>
          <w:p w:rsidR="00E56E74" w:rsidRPr="00210EC2" w:rsidRDefault="00E56E74" w:rsidP="00176E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4 w</w:t>
            </w:r>
          </w:p>
        </w:tc>
        <w:tc>
          <w:tcPr>
            <w:tcW w:w="585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23.7;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4.6)</w:t>
            </w:r>
          </w:p>
        </w:tc>
        <w:tc>
          <w:tcPr>
            <w:tcW w:w="494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27.5; 14.2)</w:t>
            </w:r>
          </w:p>
        </w:tc>
        <w:tc>
          <w:tcPr>
            <w:tcW w:w="444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74%</w:t>
            </w:r>
          </w:p>
        </w:tc>
        <w:tc>
          <w:tcPr>
            <w:tcW w:w="546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17.0;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1.1)</w:t>
            </w:r>
          </w:p>
        </w:tc>
        <w:tc>
          <w:tcPr>
            <w:tcW w:w="444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99%</w:t>
            </w:r>
          </w:p>
        </w:tc>
        <w:tc>
          <w:tcPr>
            <w:tcW w:w="581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6.7; 4.0)</w:t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13.4; 1.5)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10.2; 3.9)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12.3;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4.7; 1.4)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196.5;</w:t>
            </w:r>
            <w:r w:rsidR="008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196.1)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8.5; 0.6)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7.4; 2.1)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bottom w:val="single" w:sz="4" w:space="0" w:color="auto"/>
            </w:tcBorders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IGA VAS 4 w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10.4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115.4; 101.8)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58%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4.0)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3.9; 1.6)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80%</w:t>
            </w:r>
          </w:p>
        </w:tc>
      </w:tr>
      <w:tr w:rsidR="00692ED1" w:rsidRPr="00406DCF" w:rsidTr="00692E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noWrap/>
          </w:tcPr>
          <w:p w:rsidR="00692ED1" w:rsidRPr="00210EC2" w:rsidRDefault="00692ED1" w:rsidP="00692E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Scenario 2 (separation of diclofenac salts),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results for diclofenac sodium</w:t>
            </w:r>
          </w:p>
        </w:tc>
      </w:tr>
      <w:tr w:rsidR="00E56E74" w:rsidRPr="00406DCF" w:rsidTr="00FA269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</w:tcBorders>
            <w:noWrap/>
            <w:vAlign w:val="center"/>
          </w:tcPr>
          <w:p w:rsidR="00E56E74" w:rsidRPr="00692ED1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692ED1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2 w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21.4;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10.4)</w:t>
            </w:r>
          </w:p>
        </w:tc>
        <w:tc>
          <w:tcPr>
            <w:tcW w:w="49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3.5; 3.2)</w:t>
            </w:r>
          </w:p>
        </w:tc>
        <w:tc>
          <w:tcPr>
            <w:tcW w:w="451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53%</w:t>
            </w:r>
          </w:p>
        </w:tc>
      </w:tr>
      <w:tr w:rsidR="00E56E74" w:rsidRPr="00406DCF" w:rsidTr="00FA269C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210EC2" w:rsidRDefault="00E56E74" w:rsidP="00176E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21.0;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10.4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98.2; 70.3)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60%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10.1; 3.4)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3.8; 3.3)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210EC2" w:rsidRDefault="00E56E74" w:rsidP="00176E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13.5; 1.4)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9.0; 2.5)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12.3;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4.5; 2.7)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14.1; 7.5)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10.4; 5.6)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bottom w:val="single" w:sz="4" w:space="0" w:color="auto"/>
            </w:tcBorders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IGA VAS 4 w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5.8; 6.0)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49%</w:t>
            </w:r>
          </w:p>
        </w:tc>
      </w:tr>
      <w:tr w:rsidR="00FA269C" w:rsidRPr="00406DCF" w:rsidTr="00FA269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56E74" w:rsidRPr="00210EC2" w:rsidRDefault="00E56E74" w:rsidP="004A72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Relative efficacy of diclofenac 100 mg versus other comparators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56E74" w:rsidRPr="00406DCF" w:rsidTr="00FA269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56E74" w:rsidRPr="00210EC2" w:rsidRDefault="00E56E74" w:rsidP="000C04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Scenario 1 (exclusion of CSR </w:t>
            </w:r>
            <w:r w:rsidR="000C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92ED1" w:rsidRDefault="00E56E74" w:rsidP="00692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Probability</w:t>
            </w:r>
            <w:r w:rsidR="00692ED1"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E56E74" w:rsidRPr="00210EC2" w:rsidRDefault="00692ED1" w:rsidP="00692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 100 mg better</w:t>
            </w:r>
            <w:r w:rsidR="00E56E74"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56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100 mg better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100 mg better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Diff CFB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 xml:space="preserve">(95% </w:t>
            </w:r>
            <w:proofErr w:type="spellStart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CrI</w:t>
            </w:r>
            <w:proofErr w:type="spellEnd"/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E56E74" w:rsidRPr="00210EC2" w:rsidRDefault="00E56E74" w:rsidP="004A7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Probability 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  <w:t>Di 100 mg better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</w:tcBorders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2 w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113.7; 89.4)</w:t>
            </w:r>
          </w:p>
        </w:tc>
        <w:tc>
          <w:tcPr>
            <w:tcW w:w="49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64%</w:t>
            </w:r>
          </w:p>
        </w:tc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97.6; 105.3)</w:t>
            </w:r>
          </w:p>
        </w:tc>
        <w:tc>
          <w:tcPr>
            <w:tcW w:w="451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10.8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24.8; 3.1)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3.4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21.7; 14.7)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64%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15.8; 4.2)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9.7; 13.3)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14.0; 4.3)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13.7; 9.8)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4.6)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12.4;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7.3; 6.4)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196.1; 196.0)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9.8; 1.7)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10.6; 5.2)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</w:tr>
      <w:tr w:rsidR="00E56E74" w:rsidRPr="00406DCF" w:rsidTr="00FA269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bottom w:val="single" w:sz="4" w:space="0" w:color="auto"/>
            </w:tcBorders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IGA VAS 4 w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112.9; 104.9)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103.0; 114.4)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43%</w:t>
            </w:r>
          </w:p>
        </w:tc>
      </w:tr>
      <w:tr w:rsidR="00692ED1" w:rsidRPr="00406DCF" w:rsidTr="00692E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noWrap/>
          </w:tcPr>
          <w:p w:rsidR="00692ED1" w:rsidRPr="00210EC2" w:rsidRDefault="00692ED1" w:rsidP="00692E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Scenario 2 (separation of diclofenac salts), results for diclofenac sodium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single" w:sz="4" w:space="0" w:color="auto"/>
            </w:tcBorders>
            <w:noWrap/>
            <w:vAlign w:val="center"/>
          </w:tcPr>
          <w:p w:rsidR="00E56E74" w:rsidRPr="00692ED1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692ED1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2 w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10.5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16.1; 4.9)</w:t>
            </w:r>
          </w:p>
        </w:tc>
        <w:tc>
          <w:tcPr>
            <w:tcW w:w="49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3.2; 13.9)</w:t>
            </w:r>
          </w:p>
        </w:tc>
        <w:tc>
          <w:tcPr>
            <w:tcW w:w="451" w:type="pct"/>
            <w:tcBorders>
              <w:top w:val="single" w:sz="4" w:space="0" w:color="auto"/>
            </w:tcBorders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12.6; 0.6)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89.5; 78.1)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52%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4.7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6.6; 16.0)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2.0; 17.8)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Pain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13.6; -2.4)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&gt;99%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9.9; 11.9)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43%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3.5; 16.1)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</w:tr>
      <w:tr w:rsidR="00E56E74" w:rsidRPr="00406DCF" w:rsidTr="00FA26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PGA VAS 12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56E74" w:rsidRPr="00406DCF" w:rsidTr="00FA269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noWrap/>
            <w:vAlign w:val="center"/>
          </w:tcPr>
          <w:p w:rsidR="00E56E74" w:rsidRPr="00F977D3" w:rsidRDefault="00E56E74" w:rsidP="00176EC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F977D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n-GB"/>
              </w:rPr>
              <w:t>IGA VAS 4 w</w:t>
            </w:r>
          </w:p>
        </w:tc>
        <w:tc>
          <w:tcPr>
            <w:tcW w:w="585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6.5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11.6;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1.3)</w:t>
            </w:r>
          </w:p>
        </w:tc>
        <w:tc>
          <w:tcPr>
            <w:tcW w:w="49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99%</w:t>
            </w:r>
          </w:p>
        </w:tc>
        <w:tc>
          <w:tcPr>
            <w:tcW w:w="49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46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444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8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</w:t>
            </w:r>
          </w:p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−</w:t>
            </w: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6.0; 14.6)</w:t>
            </w:r>
          </w:p>
        </w:tc>
        <w:tc>
          <w:tcPr>
            <w:tcW w:w="451" w:type="pct"/>
            <w:noWrap/>
            <w:vAlign w:val="center"/>
          </w:tcPr>
          <w:p w:rsidR="00E56E74" w:rsidRPr="00210EC2" w:rsidRDefault="00E56E74" w:rsidP="00FA2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21%</w:t>
            </w:r>
          </w:p>
        </w:tc>
      </w:tr>
    </w:tbl>
    <w:p w:rsidR="00E56E74" w:rsidRPr="00210EC2" w:rsidRDefault="00E56E74" w:rsidP="00E56E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NA: Not Available, Di: Diclofenac,</w:t>
      </w:r>
      <w:r w:rsidRPr="00210EC2">
        <w:rPr>
          <w:rFonts w:ascii="Times New Roman" w:hAnsi="Times New Roman" w:cs="Times New Roman"/>
          <w:sz w:val="20"/>
          <w:szCs w:val="20"/>
        </w:rPr>
        <w:t xml:space="preserve"> </w:t>
      </w:r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CFB: change from baseline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CrI</w:t>
      </w:r>
      <w:proofErr w:type="spellEnd"/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: credible interval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VAS: visual analogue scale, PGA: patient global assessment, IGA: investigator global assessment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w: week, diff: difference</w:t>
      </w:r>
    </w:p>
    <w:p w:rsidR="000C25EF" w:rsidRPr="00E56E74" w:rsidRDefault="00E56E74" w:rsidP="00E56E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210EC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Pain, PGA and IGA VAS are in mm. </w:t>
      </w:r>
      <w:bookmarkStart w:id="0" w:name="_GoBack"/>
      <w:bookmarkEnd w:id="0"/>
    </w:p>
    <w:sectPr w:rsidR="000C25EF" w:rsidRPr="00E56E74" w:rsidSect="007749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6C"/>
    <w:rsid w:val="000C0430"/>
    <w:rsid w:val="000C25EF"/>
    <w:rsid w:val="00176EC1"/>
    <w:rsid w:val="00246A87"/>
    <w:rsid w:val="00507B6C"/>
    <w:rsid w:val="00567F8C"/>
    <w:rsid w:val="005A7ED4"/>
    <w:rsid w:val="00692ED1"/>
    <w:rsid w:val="008666B0"/>
    <w:rsid w:val="009B341C"/>
    <w:rsid w:val="00C0589C"/>
    <w:rsid w:val="00C9716C"/>
    <w:rsid w:val="00CE5172"/>
    <w:rsid w:val="00DA2795"/>
    <w:rsid w:val="00E460C1"/>
    <w:rsid w:val="00E56E74"/>
    <w:rsid w:val="00E9241D"/>
    <w:rsid w:val="00F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58C69-08BA-4BC9-A2E3-F61374C3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5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56E74"/>
    <w:pPr>
      <w:spacing w:after="240" w:line="360" w:lineRule="auto"/>
      <w:jc w:val="both"/>
    </w:pPr>
    <w:rPr>
      <w:rFonts w:ascii="Arial" w:eastAsia="Times New Roman" w:hAnsi="Arial" w:cs="Times New Roman"/>
      <w:color w:val="555555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56E74"/>
    <w:rPr>
      <w:rFonts w:ascii="Arial" w:eastAsia="Times New Roman" w:hAnsi="Arial" w:cs="Times New Roman"/>
      <w:color w:val="555555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unhideWhenUsed/>
    <w:rsid w:val="00E56E74"/>
    <w:rPr>
      <w:sz w:val="16"/>
      <w:szCs w:val="16"/>
    </w:rPr>
  </w:style>
  <w:style w:type="table" w:styleId="LightShading">
    <w:name w:val="Light Shading"/>
    <w:basedOn w:val="TableNormal"/>
    <w:uiPriority w:val="60"/>
    <w:rsid w:val="00E56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Mishra, Jitendriya</dc:creator>
  <cp:keywords/>
  <dc:description/>
  <cp:lastModifiedBy>Mishra, Jitendriya</cp:lastModifiedBy>
  <cp:revision>20</cp:revision>
  <dcterms:created xsi:type="dcterms:W3CDTF">2015-07-15T12:07:00Z</dcterms:created>
  <dcterms:modified xsi:type="dcterms:W3CDTF">2016-05-06T11:19:00Z</dcterms:modified>
</cp:coreProperties>
</file>