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64" w:rsidRPr="00264551" w:rsidRDefault="000A2D64" w:rsidP="000A2D64">
      <w:pPr>
        <w:pStyle w:val="Caption"/>
        <w:rPr>
          <w:rFonts w:ascii="Times New Roman" w:hAnsi="Times New Roman"/>
          <w:sz w:val="24"/>
        </w:rPr>
      </w:pPr>
      <w:bookmarkStart w:id="0" w:name="_Ref371413194"/>
      <w:bookmarkStart w:id="1" w:name="_Toc381958555"/>
      <w:bookmarkStart w:id="2" w:name="_Toc415063125"/>
      <w:r w:rsidRPr="00264551">
        <w:rPr>
          <w:rFonts w:ascii="Times New Roman" w:hAnsi="Times New Roman"/>
          <w:sz w:val="24"/>
        </w:rPr>
        <w:t>Patient characteristics of RCTs included in the NMA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4"/>
        <w:gridCol w:w="2086"/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 w:rsidR="009F5321" w:rsidRPr="00264551" w:rsidTr="00A451C4">
        <w:trPr>
          <w:trHeight w:val="198"/>
        </w:trPr>
        <w:tc>
          <w:tcPr>
            <w:tcW w:w="69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9F5321" w:rsidRPr="00264551" w:rsidRDefault="009F5321" w:rsidP="009F5321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CSR name</w:t>
            </w:r>
            <w:r w:rsidRPr="00264551"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  <w:t> 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Treatment arms  </w:t>
            </w:r>
          </w:p>
          <w:p w:rsidR="009F5321" w:rsidRPr="00264551" w:rsidRDefault="00CD444C" w:rsidP="009F5321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dose per day)</w:t>
            </w:r>
            <w:r w:rsidR="009F5321" w:rsidRPr="00264551"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  <w:t> 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ITT </w:t>
            </w:r>
          </w:p>
          <w:p w:rsidR="009F5321" w:rsidRPr="00264551" w:rsidRDefault="009F5321" w:rsidP="009F5321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n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)</w:t>
            </w:r>
            <w:r w:rsidRPr="00264551"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  <w:t> 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CD444C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Mean a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ge</w:t>
            </w:r>
          </w:p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(years)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CD444C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M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ale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 (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%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)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Type OA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Mean duration of disease in years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9F5321" w:rsidP="009F5321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Rescue medica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tion allowed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  <w:shd w:val="clear" w:color="auto" w:fill="1F497D" w:themeFill="text2"/>
            <w:vAlign w:val="center"/>
            <w:hideMark/>
          </w:tcPr>
          <w:p w:rsidR="009F5321" w:rsidRPr="00264551" w:rsidRDefault="00CD444C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D</w:t>
            </w:r>
            <w:r w:rsidR="009F532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isconti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nuation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%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)</w:t>
            </w:r>
          </w:p>
        </w:tc>
      </w:tr>
      <w:tr w:rsidR="009F5321" w:rsidRPr="00264551" w:rsidTr="00A451C4">
        <w:trPr>
          <w:trHeight w:val="198"/>
        </w:trPr>
        <w:tc>
          <w:tcPr>
            <w:tcW w:w="690" w:type="pct"/>
            <w:vMerge/>
            <w:shd w:val="clear" w:color="auto" w:fill="1F497D" w:themeFill="text2"/>
            <w:noWrap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789" w:type="pct"/>
            <w:vMerge/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vMerge/>
            <w:shd w:val="clear" w:color="auto" w:fill="1F497D" w:themeFill="text2"/>
            <w:noWrap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vMerge/>
            <w:shd w:val="clear" w:color="auto" w:fill="1F497D" w:themeFill="text2"/>
            <w:noWrap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vMerge/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shd w:val="clear" w:color="auto" w:fill="1F497D" w:themeFill="text2"/>
            <w:vAlign w:val="center"/>
            <w:hideMark/>
          </w:tcPr>
          <w:p w:rsidR="009F5321" w:rsidRPr="00264551" w:rsidRDefault="00CD444C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 H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ip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%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)</w:t>
            </w:r>
          </w:p>
        </w:tc>
        <w:tc>
          <w:tcPr>
            <w:tcW w:w="440" w:type="pct"/>
            <w:shd w:val="clear" w:color="auto" w:fill="1F497D" w:themeFill="text2"/>
            <w:vAlign w:val="center"/>
            <w:hideMark/>
          </w:tcPr>
          <w:p w:rsidR="009F5321" w:rsidRPr="00264551" w:rsidRDefault="00CD444C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K</w:t>
            </w:r>
            <w:r w:rsidR="009F5321"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nee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(</w:t>
            </w:r>
            <w:r w:rsidRPr="00264551"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%</w:t>
            </w:r>
            <w:r>
              <w:rPr>
                <w:rFonts w:ascii="Times New Roman" w:hAnsi="Times New Roman"/>
                <w:bCs/>
                <w:color w:val="FFFFFF" w:themeColor="background1"/>
                <w:sz w:val="14"/>
                <w:szCs w:val="14"/>
                <w:lang w:val="en-US"/>
              </w:rPr>
              <w:t>)</w:t>
            </w:r>
          </w:p>
        </w:tc>
        <w:tc>
          <w:tcPr>
            <w:tcW w:w="440" w:type="pct"/>
            <w:vMerge/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vMerge/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  <w:tc>
          <w:tcPr>
            <w:tcW w:w="440" w:type="pct"/>
            <w:vMerge/>
            <w:shd w:val="clear" w:color="auto" w:fill="1F497D" w:themeFill="text2"/>
            <w:vAlign w:val="center"/>
            <w:hideMark/>
          </w:tcPr>
          <w:p w:rsidR="009F5321" w:rsidRPr="00264551" w:rsidRDefault="009F5321" w:rsidP="00A451C4">
            <w:pPr>
              <w:pStyle w:val="NICEnormal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4"/>
                <w:szCs w:val="14"/>
                <w:lang w:val="en-US"/>
              </w:rPr>
            </w:pP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A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11.1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9.3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B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65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  <w:r w:rsidR="004211B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C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22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22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40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196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45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197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53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197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45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E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21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500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9.7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30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40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F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2400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9.2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22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9.8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57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H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75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105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  <w:r w:rsidR="004211B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33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32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4211B1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 20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0.3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4211B1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 20 mg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98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K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373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Paracetamol 1950 mg + d</w:t>
            </w:r>
            <w:r w:rsidR="009F5321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extropropoxy</w:t>
            </w: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fr-FR" w:eastAsia="en-US"/>
              </w:rPr>
              <w:t>phene 195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382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L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 150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15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11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75 mg 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345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24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150 mg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184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32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Ibuprofen 1200 mg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350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31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</w:t>
            </w: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150 mg 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6.3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17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12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O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17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 20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4211B1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</w:t>
            </w: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 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</w:t>
            </w:r>
            <w:bookmarkStart w:id="3" w:name="_GoBack"/>
            <w:bookmarkEnd w:id="3"/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12.6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Placebo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11.0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yes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14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Q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Diclofenac 100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4211B1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Piroxicam 20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4.5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Indomethacin 75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47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2.3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750 mg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</w:t>
            </w:r>
            <w:r w:rsidR="004211B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3.0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4211B1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0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R</w:t>
            </w: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9.2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35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129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64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8.1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34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200 mg </w:t>
            </w:r>
          </w:p>
        </w:tc>
        <w:tc>
          <w:tcPr>
            <w:tcW w:w="440" w:type="pct"/>
            <w:shd w:val="clear" w:color="auto" w:fill="DBE5F1" w:themeFill="accent1" w:themeFillTint="33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132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33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100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7.7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no</w:t>
            </w:r>
          </w:p>
        </w:tc>
        <w:tc>
          <w:tcPr>
            <w:tcW w:w="440" w:type="pct"/>
            <w:shd w:val="clear" w:color="auto" w:fill="DBE5F1" w:themeFill="accent1" w:themeFillTint="33"/>
            <w:noWrap/>
            <w:vAlign w:val="center"/>
            <w:hideMark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28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S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 xml:space="preserve">Diclofenac 100 mg 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C80770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10.2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Naproxen 1000 mg</w:t>
            </w:r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24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66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13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7.5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color w:val="000000"/>
                <w:sz w:val="14"/>
                <w:szCs w:val="14"/>
                <w:lang w:val="en-US" w:eastAsia="en-US"/>
              </w:rPr>
              <w:t>NR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sz w:val="14"/>
                <w:szCs w:val="14"/>
                <w:lang w:val="en-US" w:eastAsia="en-US"/>
              </w:rPr>
              <w:t>NR</w:t>
            </w:r>
          </w:p>
        </w:tc>
      </w:tr>
      <w:tr w:rsidR="000A2D64" w:rsidRPr="00264551" w:rsidTr="00A451C4">
        <w:trPr>
          <w:trHeight w:val="198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Weighted average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112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61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C807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32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26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79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7.4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A45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color w:val="000000"/>
                <w:sz w:val="14"/>
                <w:szCs w:val="14"/>
                <w:lang w:val="en-US" w:eastAsia="en-US"/>
              </w:rPr>
              <w:t>n/a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A2D64" w:rsidRPr="00264551" w:rsidRDefault="000A2D64" w:rsidP="00421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en-US" w:eastAsia="en-US"/>
              </w:rPr>
            </w:pPr>
            <w:r w:rsidRPr="00264551">
              <w:rPr>
                <w:rFonts w:ascii="Times New Roman" w:hAnsi="Times New Roman"/>
                <w:b/>
                <w:sz w:val="14"/>
                <w:szCs w:val="14"/>
                <w:lang w:val="en-US" w:eastAsia="en-US"/>
              </w:rPr>
              <w:t>27</w:t>
            </w:r>
          </w:p>
        </w:tc>
      </w:tr>
    </w:tbl>
    <w:p w:rsidR="000A2D64" w:rsidRPr="00AB2943" w:rsidRDefault="009F5321" w:rsidP="00AB2943">
      <w:pPr>
        <w:rPr>
          <w:rFonts w:ascii="Times New Roman" w:hAnsi="Times New Roman"/>
          <w:lang w:val="en-US" w:eastAsia="ja-JP"/>
        </w:rPr>
      </w:pPr>
      <w:r>
        <w:rPr>
          <w:rFonts w:ascii="Times New Roman" w:hAnsi="Times New Roman"/>
          <w:i/>
          <w:sz w:val="18"/>
          <w:szCs w:val="18"/>
          <w:lang w:val="en-US" w:eastAsia="en-US"/>
        </w:rPr>
        <w:t>CS</w:t>
      </w:r>
      <w:r w:rsidR="004211B1">
        <w:rPr>
          <w:rFonts w:ascii="Times New Roman" w:hAnsi="Times New Roman"/>
          <w:i/>
          <w:sz w:val="18"/>
          <w:szCs w:val="18"/>
          <w:lang w:val="en-US" w:eastAsia="en-US"/>
        </w:rPr>
        <w:t xml:space="preserve">R, clinical study report; ITT, </w:t>
      </w:r>
      <w:r>
        <w:rPr>
          <w:rFonts w:ascii="Times New Roman" w:hAnsi="Times New Roman"/>
          <w:i/>
          <w:sz w:val="18"/>
          <w:szCs w:val="18"/>
          <w:lang w:val="en-US" w:eastAsia="en-US"/>
        </w:rPr>
        <w:t xml:space="preserve">Intention-To-Treat; n/a,  not applicable; NR, </w:t>
      </w:r>
      <w:r w:rsidR="000A2D64" w:rsidRPr="00264551">
        <w:rPr>
          <w:rFonts w:ascii="Times New Roman" w:hAnsi="Times New Roman"/>
          <w:i/>
          <w:sz w:val="18"/>
          <w:szCs w:val="18"/>
          <w:lang w:val="en-US" w:eastAsia="en-US"/>
        </w:rPr>
        <w:t>not reported</w:t>
      </w:r>
      <w:bookmarkEnd w:id="0"/>
      <w:bookmarkEnd w:id="1"/>
      <w:bookmarkEnd w:id="2"/>
      <w:r>
        <w:rPr>
          <w:rFonts w:ascii="Times New Roman" w:hAnsi="Times New Roman"/>
          <w:i/>
          <w:sz w:val="18"/>
          <w:szCs w:val="18"/>
          <w:lang w:val="en-US" w:eastAsia="en-US"/>
        </w:rPr>
        <w:t>; OA, osteoarthritis</w:t>
      </w:r>
    </w:p>
    <w:sectPr w:rsidR="000A2D64" w:rsidRPr="00AB2943" w:rsidSect="00A546E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E6" w:rsidRDefault="005006E6" w:rsidP="00A546EF">
      <w:pPr>
        <w:spacing w:after="0" w:line="240" w:lineRule="auto"/>
      </w:pPr>
      <w:r>
        <w:separator/>
      </w:r>
    </w:p>
  </w:endnote>
  <w:endnote w:type="continuationSeparator" w:id="0">
    <w:p w:rsidR="005006E6" w:rsidRDefault="005006E6" w:rsidP="00A5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E6" w:rsidRDefault="005006E6" w:rsidP="00A546EF">
      <w:pPr>
        <w:spacing w:after="0" w:line="240" w:lineRule="auto"/>
      </w:pPr>
      <w:r>
        <w:separator/>
      </w:r>
    </w:p>
  </w:footnote>
  <w:footnote w:type="continuationSeparator" w:id="0">
    <w:p w:rsidR="005006E6" w:rsidRDefault="005006E6" w:rsidP="00A54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EF"/>
    <w:rsid w:val="00091003"/>
    <w:rsid w:val="000A2D64"/>
    <w:rsid w:val="000C2FED"/>
    <w:rsid w:val="00197829"/>
    <w:rsid w:val="00243F41"/>
    <w:rsid w:val="002F0147"/>
    <w:rsid w:val="004211B1"/>
    <w:rsid w:val="005006E6"/>
    <w:rsid w:val="005B704C"/>
    <w:rsid w:val="00622409"/>
    <w:rsid w:val="006A4955"/>
    <w:rsid w:val="007F21F2"/>
    <w:rsid w:val="008B18F5"/>
    <w:rsid w:val="009A5EA6"/>
    <w:rsid w:val="009E41AA"/>
    <w:rsid w:val="009F5321"/>
    <w:rsid w:val="00A54563"/>
    <w:rsid w:val="00A546EF"/>
    <w:rsid w:val="00AB2943"/>
    <w:rsid w:val="00B4283B"/>
    <w:rsid w:val="00B7388F"/>
    <w:rsid w:val="00C80770"/>
    <w:rsid w:val="00CD444C"/>
    <w:rsid w:val="00E02A0C"/>
    <w:rsid w:val="00F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6C0A3-B8AF-4386-B626-0912B7E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EF"/>
    <w:pPr>
      <w:spacing w:after="120" w:line="360" w:lineRule="auto"/>
      <w:jc w:val="both"/>
    </w:pPr>
    <w:rPr>
      <w:rFonts w:ascii="Verdana" w:eastAsia="Times New Roman" w:hAnsi="Verdana" w:cs="Times New Roman"/>
      <w:sz w:val="19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46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6EF"/>
    <w:rPr>
      <w:rFonts w:ascii="Verdana" w:eastAsia="Times New Roman" w:hAnsi="Verdana" w:cs="Times New Roman"/>
      <w:sz w:val="19"/>
      <w:szCs w:val="20"/>
      <w:lang w:val="en-GB" w:eastAsia="en-GB"/>
    </w:rPr>
  </w:style>
  <w:style w:type="paragraph" w:styleId="Header">
    <w:name w:val="header"/>
    <w:basedOn w:val="Normal"/>
    <w:link w:val="HeaderChar"/>
    <w:rsid w:val="00A546EF"/>
    <w:pPr>
      <w:tabs>
        <w:tab w:val="right" w:pos="8222"/>
      </w:tabs>
    </w:pPr>
  </w:style>
  <w:style w:type="character" w:customStyle="1" w:styleId="HeaderChar">
    <w:name w:val="Header Char"/>
    <w:basedOn w:val="DefaultParagraphFont"/>
    <w:link w:val="Header"/>
    <w:rsid w:val="00A546EF"/>
    <w:rPr>
      <w:rFonts w:ascii="Verdana" w:eastAsia="Times New Roman" w:hAnsi="Verdana" w:cs="Times New Roman"/>
      <w:sz w:val="19"/>
      <w:szCs w:val="20"/>
      <w:lang w:val="en-GB" w:eastAsia="en-GB"/>
    </w:rPr>
  </w:style>
  <w:style w:type="character" w:styleId="PageNumber">
    <w:name w:val="page number"/>
    <w:basedOn w:val="DefaultParagraphFont"/>
    <w:rsid w:val="00A546EF"/>
    <w:rPr>
      <w:rFonts w:ascii="Arial" w:hAnsi="Arial"/>
      <w:color w:val="555555"/>
    </w:rPr>
  </w:style>
  <w:style w:type="paragraph" w:styleId="Caption">
    <w:name w:val="caption"/>
    <w:basedOn w:val="Normal"/>
    <w:next w:val="Normal"/>
    <w:link w:val="CaptionChar"/>
    <w:qFormat/>
    <w:rsid w:val="00A546EF"/>
    <w:pPr>
      <w:spacing w:after="0" w:line="240" w:lineRule="auto"/>
      <w:jc w:val="left"/>
    </w:pPr>
    <w:rPr>
      <w:rFonts w:eastAsia="Times"/>
      <w:b/>
      <w:szCs w:val="19"/>
      <w:lang w:val="en-US" w:eastAsia="ja-JP"/>
    </w:rPr>
  </w:style>
  <w:style w:type="character" w:customStyle="1" w:styleId="CaptionChar">
    <w:name w:val="Caption Char"/>
    <w:link w:val="Caption"/>
    <w:uiPriority w:val="35"/>
    <w:rsid w:val="00A546EF"/>
    <w:rPr>
      <w:rFonts w:ascii="Verdana" w:eastAsia="Times" w:hAnsi="Verdana" w:cs="Times New Roman"/>
      <w:b/>
      <w:sz w:val="19"/>
      <w:szCs w:val="19"/>
      <w:lang w:eastAsia="ja-JP"/>
    </w:rPr>
  </w:style>
  <w:style w:type="table" w:styleId="TableGrid">
    <w:name w:val="Table Grid"/>
    <w:basedOn w:val="TableNormal"/>
    <w:uiPriority w:val="59"/>
    <w:rsid w:val="00F6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">
    <w:name w:val="NICE normal"/>
    <w:basedOn w:val="Normal"/>
    <w:link w:val="NICEnormalChar"/>
    <w:rsid w:val="000A2D64"/>
    <w:pPr>
      <w:spacing w:after="240"/>
      <w:jc w:val="left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locked/>
    <w:rsid w:val="000A2D64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2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83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83B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83B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3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Guyot</dc:creator>
  <cp:lastModifiedBy>Mishra, Jitendriya</cp:lastModifiedBy>
  <cp:revision>6</cp:revision>
  <dcterms:created xsi:type="dcterms:W3CDTF">2015-12-21T19:50:00Z</dcterms:created>
  <dcterms:modified xsi:type="dcterms:W3CDTF">2016-05-06T10:12:00Z</dcterms:modified>
</cp:coreProperties>
</file>