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FBD0F" w14:textId="77777777" w:rsidR="00F00CF0" w:rsidRPr="00732702" w:rsidRDefault="009262A0" w:rsidP="00F00CF0">
      <w:pPr>
        <w:pStyle w:val="Caption"/>
        <w:rPr>
          <w:rFonts w:ascii="Times New Roman" w:hAnsi="Times New Roman"/>
          <w:sz w:val="24"/>
        </w:rPr>
      </w:pPr>
      <w:bookmarkStart w:id="0" w:name="_Toc415063161"/>
      <w:r w:rsidRPr="00732702">
        <w:rPr>
          <w:rFonts w:ascii="Times New Roman" w:hAnsi="Times New Roman"/>
          <w:sz w:val="24"/>
        </w:rPr>
        <w:t>A.</w:t>
      </w:r>
      <w:r w:rsidR="00F00CF0" w:rsidRPr="00732702">
        <w:rPr>
          <w:rFonts w:ascii="Times New Roman" w:hAnsi="Times New Roman"/>
          <w:sz w:val="24"/>
        </w:rPr>
        <w:t xml:space="preserve"> Study design of CSRs retrieved for data extraction but not included in the NMA base case</w:t>
      </w:r>
      <w:bookmarkEnd w:id="0"/>
    </w:p>
    <w:tbl>
      <w:tblPr>
        <w:tblW w:w="14832" w:type="dxa"/>
        <w:tblInd w:w="18" w:type="dxa"/>
        <w:tblLayout w:type="fixed"/>
        <w:tblLook w:val="04A0" w:firstRow="1" w:lastRow="0" w:firstColumn="1" w:lastColumn="0" w:noHBand="0" w:noVBand="1"/>
      </w:tblPr>
      <w:tblGrid>
        <w:gridCol w:w="450"/>
        <w:gridCol w:w="900"/>
        <w:gridCol w:w="810"/>
        <w:gridCol w:w="990"/>
        <w:gridCol w:w="810"/>
        <w:gridCol w:w="540"/>
        <w:gridCol w:w="630"/>
        <w:gridCol w:w="630"/>
        <w:gridCol w:w="630"/>
        <w:gridCol w:w="630"/>
        <w:gridCol w:w="3060"/>
        <w:gridCol w:w="90"/>
        <w:gridCol w:w="4662"/>
      </w:tblGrid>
      <w:tr w:rsidR="008F79C3" w:rsidRPr="00610759" w14:paraId="4229CDA2" w14:textId="77777777" w:rsidTr="008F79C3">
        <w:trPr>
          <w:trHeight w:val="616"/>
        </w:trPr>
        <w:tc>
          <w:tcPr>
            <w:tcW w:w="450" w:type="dxa"/>
            <w:tcBorders>
              <w:top w:val="single" w:sz="4" w:space="0" w:color="auto"/>
            </w:tcBorders>
            <w:shd w:val="clear" w:color="auto" w:fill="1F497D" w:themeFill="text2"/>
            <w:noWrap/>
            <w:vAlign w:val="center"/>
            <w:hideMark/>
          </w:tcPr>
          <w:p w14:paraId="78A4C103"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CSR ID</w:t>
            </w:r>
          </w:p>
        </w:tc>
        <w:tc>
          <w:tcPr>
            <w:tcW w:w="900" w:type="dxa"/>
            <w:tcBorders>
              <w:top w:val="single" w:sz="4" w:space="0" w:color="auto"/>
            </w:tcBorders>
            <w:shd w:val="clear" w:color="auto" w:fill="1F497D" w:themeFill="text2"/>
            <w:vAlign w:val="center"/>
            <w:hideMark/>
          </w:tcPr>
          <w:p w14:paraId="638D84C0"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Name of interventions</w:t>
            </w:r>
          </w:p>
        </w:tc>
        <w:tc>
          <w:tcPr>
            <w:tcW w:w="810" w:type="dxa"/>
            <w:tcBorders>
              <w:top w:val="single" w:sz="4" w:space="0" w:color="auto"/>
            </w:tcBorders>
            <w:shd w:val="clear" w:color="auto" w:fill="1F497D" w:themeFill="text2"/>
            <w:vAlign w:val="center"/>
            <w:hideMark/>
          </w:tcPr>
          <w:p w14:paraId="472AB2E9"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Total dose per day</w:t>
            </w:r>
          </w:p>
        </w:tc>
        <w:tc>
          <w:tcPr>
            <w:tcW w:w="990" w:type="dxa"/>
            <w:tcBorders>
              <w:top w:val="single" w:sz="4" w:space="0" w:color="auto"/>
            </w:tcBorders>
            <w:shd w:val="clear" w:color="auto" w:fill="1F497D" w:themeFill="text2"/>
            <w:vAlign w:val="center"/>
            <w:hideMark/>
          </w:tcPr>
          <w:p w14:paraId="4C1E6378" w14:textId="18E877A3"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Admin</w:t>
            </w:r>
            <w:r>
              <w:rPr>
                <w:rFonts w:ascii="Times New Roman" w:hAnsi="Times New Roman"/>
                <w:bCs/>
                <w:color w:val="FFFFFF"/>
                <w:sz w:val="12"/>
                <w:szCs w:val="12"/>
                <w:lang w:val="en-US" w:eastAsia="en-US"/>
              </w:rPr>
              <w:t>istration</w:t>
            </w:r>
            <w:r w:rsidRPr="00610759">
              <w:rPr>
                <w:rFonts w:ascii="Times New Roman" w:hAnsi="Times New Roman"/>
                <w:bCs/>
                <w:color w:val="FFFFFF"/>
                <w:sz w:val="12"/>
                <w:szCs w:val="12"/>
                <w:lang w:val="en-US" w:eastAsia="en-US"/>
              </w:rPr>
              <w:t xml:space="preserve"> frequency</w:t>
            </w:r>
          </w:p>
        </w:tc>
        <w:tc>
          <w:tcPr>
            <w:tcW w:w="810" w:type="dxa"/>
            <w:tcBorders>
              <w:top w:val="single" w:sz="4" w:space="0" w:color="auto"/>
            </w:tcBorders>
            <w:shd w:val="clear" w:color="auto" w:fill="1F497D" w:themeFill="text2"/>
            <w:vAlign w:val="center"/>
            <w:hideMark/>
          </w:tcPr>
          <w:p w14:paraId="44DACFBB" w14:textId="268C778E" w:rsidR="00121976" w:rsidRPr="00610759" w:rsidRDefault="00121976" w:rsidP="007E0FCD">
            <w:pPr>
              <w:spacing w:after="0" w:line="240" w:lineRule="auto"/>
              <w:jc w:val="center"/>
              <w:rPr>
                <w:rFonts w:ascii="Times New Roman" w:hAnsi="Times New Roman"/>
                <w:bCs/>
                <w:color w:val="FFFFFF"/>
                <w:sz w:val="12"/>
                <w:szCs w:val="12"/>
                <w:lang w:val="en-US" w:eastAsia="en-US"/>
              </w:rPr>
            </w:pPr>
            <w:r>
              <w:rPr>
                <w:rFonts w:ascii="Times New Roman" w:hAnsi="Times New Roman"/>
                <w:bCs/>
                <w:color w:val="FFFFFF"/>
                <w:sz w:val="12"/>
                <w:szCs w:val="12"/>
                <w:lang w:val="en-US" w:eastAsia="en-US"/>
              </w:rPr>
              <w:t>F</w:t>
            </w:r>
            <w:r w:rsidRPr="00610759">
              <w:rPr>
                <w:rFonts w:ascii="Times New Roman" w:hAnsi="Times New Roman"/>
                <w:bCs/>
                <w:color w:val="FFFFFF"/>
                <w:sz w:val="12"/>
                <w:szCs w:val="12"/>
                <w:lang w:val="en-US" w:eastAsia="en-US"/>
              </w:rPr>
              <w:t>ormulation</w:t>
            </w:r>
          </w:p>
        </w:tc>
        <w:tc>
          <w:tcPr>
            <w:tcW w:w="540" w:type="dxa"/>
            <w:tcBorders>
              <w:top w:val="single" w:sz="4" w:space="0" w:color="auto"/>
            </w:tcBorders>
            <w:shd w:val="clear" w:color="auto" w:fill="1F497D" w:themeFill="text2"/>
            <w:vAlign w:val="center"/>
            <w:hideMark/>
          </w:tcPr>
          <w:p w14:paraId="19600A4F"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Study design</w:t>
            </w:r>
          </w:p>
        </w:tc>
        <w:tc>
          <w:tcPr>
            <w:tcW w:w="630" w:type="dxa"/>
            <w:tcBorders>
              <w:top w:val="single" w:sz="4" w:space="0" w:color="auto"/>
            </w:tcBorders>
            <w:shd w:val="clear" w:color="auto" w:fill="1F497D" w:themeFill="text2"/>
            <w:vAlign w:val="center"/>
            <w:hideMark/>
          </w:tcPr>
          <w:p w14:paraId="14783638" w14:textId="022533E3" w:rsidR="00121976" w:rsidRPr="00610759" w:rsidRDefault="00121976" w:rsidP="00056A5C">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Cen</w:t>
            </w:r>
            <w:r>
              <w:rPr>
                <w:rFonts w:ascii="Times New Roman" w:hAnsi="Times New Roman"/>
                <w:bCs/>
                <w:color w:val="FFFFFF"/>
                <w:sz w:val="12"/>
                <w:szCs w:val="12"/>
                <w:lang w:val="en-US" w:eastAsia="en-US"/>
              </w:rPr>
              <w:t>t</w:t>
            </w:r>
            <w:r w:rsidRPr="00610759">
              <w:rPr>
                <w:rFonts w:ascii="Times New Roman" w:hAnsi="Times New Roman"/>
                <w:bCs/>
                <w:color w:val="FFFFFF"/>
                <w:sz w:val="12"/>
                <w:szCs w:val="12"/>
                <w:lang w:val="en-US" w:eastAsia="en-US"/>
              </w:rPr>
              <w:t>r</w:t>
            </w:r>
            <w:r>
              <w:rPr>
                <w:rFonts w:ascii="Times New Roman" w:hAnsi="Times New Roman"/>
                <w:bCs/>
                <w:color w:val="FFFFFF"/>
                <w:sz w:val="12"/>
                <w:szCs w:val="12"/>
                <w:lang w:val="en-US" w:eastAsia="en-US"/>
              </w:rPr>
              <w:t>e</w:t>
            </w:r>
            <w:r w:rsidRPr="00610759">
              <w:rPr>
                <w:rFonts w:ascii="Times New Roman" w:hAnsi="Times New Roman"/>
                <w:bCs/>
                <w:color w:val="FFFFFF"/>
                <w:sz w:val="12"/>
                <w:szCs w:val="12"/>
                <w:lang w:val="en-US" w:eastAsia="en-US"/>
              </w:rPr>
              <w:t>s</w:t>
            </w:r>
          </w:p>
        </w:tc>
        <w:tc>
          <w:tcPr>
            <w:tcW w:w="630" w:type="dxa"/>
            <w:tcBorders>
              <w:top w:val="single" w:sz="4" w:space="0" w:color="auto"/>
            </w:tcBorders>
            <w:shd w:val="clear" w:color="auto" w:fill="1F497D" w:themeFill="text2"/>
            <w:vAlign w:val="center"/>
            <w:hideMark/>
          </w:tcPr>
          <w:p w14:paraId="62C4BAB0"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Study location</w:t>
            </w:r>
          </w:p>
        </w:tc>
        <w:tc>
          <w:tcPr>
            <w:tcW w:w="630" w:type="dxa"/>
            <w:tcBorders>
              <w:top w:val="single" w:sz="4" w:space="0" w:color="auto"/>
            </w:tcBorders>
            <w:shd w:val="clear" w:color="auto" w:fill="1F497D" w:themeFill="text2"/>
            <w:vAlign w:val="center"/>
            <w:hideMark/>
          </w:tcPr>
          <w:p w14:paraId="303AE28E"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 xml:space="preserve">Year of start date </w:t>
            </w:r>
          </w:p>
        </w:tc>
        <w:tc>
          <w:tcPr>
            <w:tcW w:w="630" w:type="dxa"/>
            <w:tcBorders>
              <w:top w:val="single" w:sz="4" w:space="0" w:color="auto"/>
            </w:tcBorders>
            <w:shd w:val="clear" w:color="auto" w:fill="1F497D" w:themeFill="text2"/>
            <w:vAlign w:val="center"/>
            <w:hideMark/>
          </w:tcPr>
          <w:p w14:paraId="5E123BA6"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Trial duration</w:t>
            </w:r>
            <w:r w:rsidRPr="00610759">
              <w:rPr>
                <w:rFonts w:ascii="Times New Roman" w:hAnsi="Times New Roman"/>
                <w:bCs/>
                <w:color w:val="FFFFFF"/>
                <w:sz w:val="12"/>
                <w:szCs w:val="12"/>
                <w:lang w:val="en-US" w:eastAsia="en-US"/>
              </w:rPr>
              <w:br/>
              <w:t>in days</w:t>
            </w:r>
          </w:p>
        </w:tc>
        <w:tc>
          <w:tcPr>
            <w:tcW w:w="3060" w:type="dxa"/>
            <w:tcBorders>
              <w:top w:val="single" w:sz="4" w:space="0" w:color="auto"/>
            </w:tcBorders>
            <w:shd w:val="clear" w:color="auto" w:fill="1F497D" w:themeFill="text2"/>
            <w:vAlign w:val="center"/>
            <w:hideMark/>
          </w:tcPr>
          <w:p w14:paraId="7C8735E1"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Main inclusion criteria</w:t>
            </w:r>
          </w:p>
          <w:p w14:paraId="6A2AEC20"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p>
        </w:tc>
        <w:tc>
          <w:tcPr>
            <w:tcW w:w="4752" w:type="dxa"/>
            <w:gridSpan w:val="2"/>
            <w:tcBorders>
              <w:top w:val="single" w:sz="4" w:space="0" w:color="auto"/>
            </w:tcBorders>
            <w:shd w:val="clear" w:color="auto" w:fill="1F497D" w:themeFill="text2"/>
            <w:vAlign w:val="center"/>
            <w:hideMark/>
          </w:tcPr>
          <w:p w14:paraId="0BB17D57"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r w:rsidRPr="00610759">
              <w:rPr>
                <w:rFonts w:ascii="Times New Roman" w:hAnsi="Times New Roman"/>
                <w:bCs/>
                <w:color w:val="FFFFFF"/>
                <w:sz w:val="12"/>
                <w:szCs w:val="12"/>
                <w:lang w:val="en-US" w:eastAsia="en-US"/>
              </w:rPr>
              <w:t>Main exclusion criteria</w:t>
            </w:r>
          </w:p>
          <w:p w14:paraId="332233CB" w14:textId="77777777" w:rsidR="00121976" w:rsidRPr="00610759" w:rsidRDefault="00121976" w:rsidP="007E0FCD">
            <w:pPr>
              <w:spacing w:after="0" w:line="240" w:lineRule="auto"/>
              <w:jc w:val="center"/>
              <w:rPr>
                <w:rFonts w:ascii="Times New Roman" w:hAnsi="Times New Roman"/>
                <w:bCs/>
                <w:color w:val="FFFFFF"/>
                <w:sz w:val="12"/>
                <w:szCs w:val="12"/>
                <w:lang w:val="en-US" w:eastAsia="en-US"/>
              </w:rPr>
            </w:pPr>
          </w:p>
        </w:tc>
      </w:tr>
      <w:tr w:rsidR="00174BA8" w:rsidRPr="00174BA8" w14:paraId="1C4E0165" w14:textId="77777777" w:rsidTr="008F79C3">
        <w:trPr>
          <w:trHeight w:val="1814"/>
        </w:trPr>
        <w:tc>
          <w:tcPr>
            <w:tcW w:w="450" w:type="dxa"/>
            <w:vMerge w:val="restart"/>
            <w:shd w:val="clear" w:color="000000" w:fill="FFFFFF"/>
            <w:noWrap/>
            <w:vAlign w:val="center"/>
            <w:hideMark/>
          </w:tcPr>
          <w:p w14:paraId="58C2A65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w:t>
            </w:r>
          </w:p>
          <w:p w14:paraId="3E74B71E"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000000" w:fill="FFFFFF"/>
            <w:noWrap/>
            <w:vAlign w:val="center"/>
            <w:hideMark/>
          </w:tcPr>
          <w:p w14:paraId="1EA1CD5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000000" w:fill="FFFFFF"/>
            <w:vAlign w:val="center"/>
            <w:hideMark/>
          </w:tcPr>
          <w:p w14:paraId="40507653" w14:textId="3AD0EC9C" w:rsidR="00121976" w:rsidRPr="00174BA8" w:rsidRDefault="00121976" w:rsidP="00056A5C">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 mg</w:t>
            </w:r>
          </w:p>
        </w:tc>
        <w:tc>
          <w:tcPr>
            <w:tcW w:w="990" w:type="dxa"/>
            <w:shd w:val="clear" w:color="000000" w:fill="FFFFFF"/>
            <w:vAlign w:val="center"/>
            <w:hideMark/>
          </w:tcPr>
          <w:p w14:paraId="69D82C8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OD</w:t>
            </w:r>
          </w:p>
        </w:tc>
        <w:tc>
          <w:tcPr>
            <w:tcW w:w="810" w:type="dxa"/>
            <w:shd w:val="clear" w:color="000000" w:fill="FFFFFF"/>
            <w:vAlign w:val="center"/>
            <w:hideMark/>
          </w:tcPr>
          <w:p w14:paraId="2532650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sustained release tablet</w:t>
            </w:r>
          </w:p>
        </w:tc>
        <w:tc>
          <w:tcPr>
            <w:tcW w:w="540" w:type="dxa"/>
            <w:shd w:val="clear" w:color="auto" w:fill="auto"/>
            <w:vAlign w:val="center"/>
            <w:hideMark/>
          </w:tcPr>
          <w:p w14:paraId="195BB4A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auto"/>
            <w:vAlign w:val="center"/>
            <w:hideMark/>
          </w:tcPr>
          <w:p w14:paraId="6E2D8FE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w:t>
            </w:r>
          </w:p>
        </w:tc>
        <w:tc>
          <w:tcPr>
            <w:tcW w:w="630" w:type="dxa"/>
            <w:shd w:val="clear" w:color="auto" w:fill="auto"/>
            <w:vAlign w:val="center"/>
            <w:hideMark/>
          </w:tcPr>
          <w:p w14:paraId="64F7789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Canada</w:t>
            </w:r>
          </w:p>
        </w:tc>
        <w:tc>
          <w:tcPr>
            <w:tcW w:w="630" w:type="dxa"/>
            <w:shd w:val="clear" w:color="auto" w:fill="auto"/>
            <w:vAlign w:val="center"/>
            <w:hideMark/>
          </w:tcPr>
          <w:p w14:paraId="04D9747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1987</w:t>
            </w:r>
          </w:p>
        </w:tc>
        <w:tc>
          <w:tcPr>
            <w:tcW w:w="630" w:type="dxa"/>
            <w:shd w:val="clear" w:color="auto" w:fill="auto"/>
            <w:vAlign w:val="center"/>
            <w:hideMark/>
          </w:tcPr>
          <w:p w14:paraId="2555197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060" w:type="dxa"/>
            <w:vMerge w:val="restart"/>
            <w:shd w:val="clear" w:color="auto" w:fill="auto"/>
            <w:vAlign w:val="center"/>
            <w:hideMark/>
          </w:tcPr>
          <w:p w14:paraId="4CBF0B8D" w14:textId="02C25B31"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OA of the knee characterized by: 1) radiologic evidence of degenerative joint disease; 2) at least moderate pain on movement of the affected knee requiring analgesic or anti-inflammatory medication; 3) limitation of range of movement and inactivity stiffness.</w:t>
            </w:r>
            <w:r w:rsidRPr="00174BA8">
              <w:rPr>
                <w:rFonts w:ascii="Times New Roman" w:hAnsi="Times New Roman"/>
                <w:sz w:val="13"/>
                <w:szCs w:val="13"/>
                <w:lang w:val="en-US" w:eastAsia="en-US"/>
              </w:rPr>
              <w:br/>
              <w:t>- stable OA for three months prior to inclusion in this study, defined as: 1) there has been no major increase in the maximum pain experienced at rest or with activity; 2) there has been no appreciable increase in swelling or effusion; 3) there has been no major change in the range of movement nor increase in the duration of inactivity stiffness.</w:t>
            </w:r>
            <w:r w:rsidRPr="00174BA8">
              <w:rPr>
                <w:rFonts w:ascii="Times New Roman" w:hAnsi="Times New Roman"/>
                <w:sz w:val="13"/>
                <w:szCs w:val="13"/>
                <w:lang w:val="en-US" w:eastAsia="en-US"/>
              </w:rPr>
              <w:br/>
              <w:t>- both sex</w:t>
            </w:r>
            <w:r w:rsidRPr="00174BA8">
              <w:rPr>
                <w:rFonts w:ascii="Times New Roman" w:hAnsi="Times New Roman"/>
                <w:sz w:val="13"/>
                <w:szCs w:val="13"/>
                <w:lang w:val="en-US" w:eastAsia="en-US"/>
              </w:rPr>
              <w:br/>
              <w:t>- 65 years or older</w:t>
            </w:r>
            <w:r w:rsidRPr="00174BA8">
              <w:rPr>
                <w:rFonts w:ascii="Times New Roman" w:hAnsi="Times New Roman"/>
                <w:sz w:val="13"/>
                <w:szCs w:val="13"/>
                <w:lang w:val="en-US" w:eastAsia="en-US"/>
              </w:rPr>
              <w:br/>
              <w:t>- functional status: ARA class II or III.</w:t>
            </w:r>
            <w:r w:rsidRPr="00174BA8">
              <w:rPr>
                <w:rFonts w:ascii="Times New Roman" w:hAnsi="Times New Roman"/>
                <w:sz w:val="13"/>
                <w:szCs w:val="13"/>
                <w:lang w:val="en-US" w:eastAsia="en-US"/>
              </w:rPr>
              <w:br/>
              <w:t>- Medication: Must have required and been on an equivalent dose of indomethacin, naproxen, ibuprofen, sulindac, ketoprofen, fenoprofen, tolmetin, flurbiprofen or ASA for the control of their osteoarthritis of the knee for at least 1 month prior to enrollment.</w:t>
            </w:r>
          </w:p>
        </w:tc>
        <w:tc>
          <w:tcPr>
            <w:tcW w:w="4752" w:type="dxa"/>
            <w:gridSpan w:val="2"/>
            <w:vMerge w:val="restart"/>
            <w:shd w:val="clear" w:color="auto" w:fill="auto"/>
            <w:vAlign w:val="center"/>
            <w:hideMark/>
          </w:tcPr>
          <w:p w14:paraId="582AFCD5" w14:textId="47B06CBE"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Physiological states</w:t>
            </w:r>
            <w:r w:rsidRPr="00174BA8">
              <w:rPr>
                <w:rFonts w:ascii="Times New Roman" w:hAnsi="Times New Roman"/>
                <w:sz w:val="13"/>
                <w:szCs w:val="13"/>
                <w:lang w:val="en-US" w:eastAsia="en-US"/>
              </w:rPr>
              <w:br/>
              <w:t>- previous and/or concomitant medical conditions: hypersensitivity to either of the study medications or cross-sensitivity to ASA, or other non-steroidal anti-inflammatory agents</w:t>
            </w:r>
            <w:r w:rsidRPr="00174BA8">
              <w:rPr>
                <w:rFonts w:ascii="Times New Roman" w:hAnsi="Times New Roman"/>
                <w:sz w:val="13"/>
                <w:szCs w:val="13"/>
                <w:lang w:val="en-US" w:eastAsia="en-US"/>
              </w:rPr>
              <w:br/>
              <w:t>- renal/hepatic disease; patients with severe hepatic or renal disease with laboratory evaluations of function greater than 40% above the upper limit of the normal range</w:t>
            </w:r>
            <w:r w:rsidRPr="00174BA8">
              <w:rPr>
                <w:rFonts w:ascii="Times New Roman" w:hAnsi="Times New Roman"/>
                <w:sz w:val="13"/>
                <w:szCs w:val="13"/>
                <w:lang w:val="en-US" w:eastAsia="en-US"/>
              </w:rPr>
              <w:br/>
              <w:t>- other conditions; recent myocardial infarction, cardiac arrhythmias, congestive heart failure, hematologic disorders and bleeding diatheses, peptic ulcer disease, gastritis or other abnormalities of the upper gastrointestinal tract, regional enteritis, ulcerative colitis, asthma or severe chronic obstructive lung disease, epilepsy, parkinsonism or psychosis, arthritis from any other cause</w:t>
            </w:r>
            <w:r w:rsidRPr="00174BA8">
              <w:rPr>
                <w:rFonts w:ascii="Times New Roman" w:hAnsi="Times New Roman"/>
                <w:sz w:val="13"/>
                <w:szCs w:val="13"/>
                <w:lang w:val="en-US" w:eastAsia="en-US"/>
              </w:rPr>
              <w:br/>
              <w:t>- previous illness; patients who have had a major systemic illness, including infection or surgery within the previous three months</w:t>
            </w:r>
            <w:r w:rsidRPr="00174BA8">
              <w:rPr>
                <w:rFonts w:ascii="Times New Roman" w:hAnsi="Times New Roman"/>
                <w:sz w:val="13"/>
                <w:szCs w:val="13"/>
                <w:lang w:val="en-US" w:eastAsia="en-US"/>
              </w:rPr>
              <w:br/>
              <w:t>- patients who have been receiving long biological half-life (&gt;20 hrs. i.e. piroxicam) NSAIDs or diclofenac</w:t>
            </w:r>
            <w:r w:rsidRPr="00174BA8">
              <w:rPr>
                <w:rFonts w:ascii="Times New Roman" w:hAnsi="Times New Roman"/>
                <w:sz w:val="13"/>
                <w:szCs w:val="13"/>
                <w:lang w:val="en-US" w:eastAsia="en-US"/>
              </w:rPr>
              <w:br/>
              <w:t>- patients who received corticosteroids (by oral, IM or intra-articular routes within 6 weeks) analgesic medications (inlcuding ASA/salicyclic acid formulations) other than the study and rescue medications, or anti-coagulants</w:t>
            </w:r>
            <w:r w:rsidRPr="00174BA8">
              <w:rPr>
                <w:rFonts w:ascii="Times New Roman" w:hAnsi="Times New Roman"/>
                <w:sz w:val="13"/>
                <w:szCs w:val="13"/>
                <w:lang w:val="en-US" w:eastAsia="en-US"/>
              </w:rPr>
              <w:br/>
              <w:t>- patients receiving other forms of therapy such as physiotherapy, if this therapy is expected to vary during the study.</w:t>
            </w:r>
          </w:p>
          <w:p w14:paraId="043264B4"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372C2B9B" w14:textId="77777777" w:rsidTr="008F79C3">
        <w:trPr>
          <w:trHeight w:val="420"/>
        </w:trPr>
        <w:tc>
          <w:tcPr>
            <w:tcW w:w="450" w:type="dxa"/>
            <w:vMerge/>
            <w:shd w:val="clear" w:color="000000" w:fill="FFFFFF"/>
            <w:noWrap/>
            <w:vAlign w:val="center"/>
          </w:tcPr>
          <w:p w14:paraId="77983569"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000000" w:fill="FFFFFF"/>
            <w:noWrap/>
            <w:vAlign w:val="center"/>
          </w:tcPr>
          <w:p w14:paraId="2546066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000000" w:fill="FFFFFF"/>
            <w:vAlign w:val="center"/>
          </w:tcPr>
          <w:p w14:paraId="0A70E15C" w14:textId="7C11F3F6"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 mg</w:t>
            </w:r>
          </w:p>
        </w:tc>
        <w:tc>
          <w:tcPr>
            <w:tcW w:w="990" w:type="dxa"/>
            <w:shd w:val="clear" w:color="000000" w:fill="FFFFFF"/>
            <w:vAlign w:val="center"/>
          </w:tcPr>
          <w:p w14:paraId="2782398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000000" w:fill="FFFFFF"/>
            <w:vAlign w:val="center"/>
          </w:tcPr>
          <w:p w14:paraId="49E59ED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immediate release tablet</w:t>
            </w:r>
          </w:p>
        </w:tc>
        <w:tc>
          <w:tcPr>
            <w:tcW w:w="540" w:type="dxa"/>
            <w:shd w:val="clear" w:color="auto" w:fill="auto"/>
            <w:vAlign w:val="center"/>
          </w:tcPr>
          <w:p w14:paraId="090CBF0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49087C14"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auto"/>
            <w:vAlign w:val="center"/>
          </w:tcPr>
          <w:p w14:paraId="658CE8A0"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auto"/>
            <w:vAlign w:val="center"/>
          </w:tcPr>
          <w:p w14:paraId="69C52866"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auto"/>
            <w:vAlign w:val="center"/>
          </w:tcPr>
          <w:p w14:paraId="4BABCEEF"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3060" w:type="dxa"/>
            <w:vMerge/>
            <w:shd w:val="clear" w:color="auto" w:fill="auto"/>
            <w:vAlign w:val="center"/>
          </w:tcPr>
          <w:p w14:paraId="192E86A9"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auto"/>
            <w:vAlign w:val="center"/>
          </w:tcPr>
          <w:p w14:paraId="28F0C116"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41A3047D" w14:textId="77777777" w:rsidTr="008F79C3">
        <w:trPr>
          <w:trHeight w:val="420"/>
        </w:trPr>
        <w:tc>
          <w:tcPr>
            <w:tcW w:w="450" w:type="dxa"/>
            <w:vMerge w:val="restart"/>
            <w:shd w:val="clear" w:color="auto" w:fill="DBE5F1" w:themeFill="accent1" w:themeFillTint="33"/>
            <w:noWrap/>
            <w:vAlign w:val="center"/>
          </w:tcPr>
          <w:p w14:paraId="34919F2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w:t>
            </w:r>
          </w:p>
        </w:tc>
        <w:tc>
          <w:tcPr>
            <w:tcW w:w="900" w:type="dxa"/>
            <w:shd w:val="clear" w:color="auto" w:fill="DBE5F1" w:themeFill="accent1" w:themeFillTint="33"/>
            <w:noWrap/>
            <w:vAlign w:val="center"/>
          </w:tcPr>
          <w:p w14:paraId="51930D01"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DBE5F1" w:themeFill="accent1" w:themeFillTint="33"/>
            <w:vAlign w:val="center"/>
          </w:tcPr>
          <w:p w14:paraId="1166D2E8" w14:textId="57C915A8"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75 mg</w:t>
            </w:r>
          </w:p>
        </w:tc>
        <w:tc>
          <w:tcPr>
            <w:tcW w:w="990" w:type="dxa"/>
            <w:shd w:val="clear" w:color="auto" w:fill="DBE5F1" w:themeFill="accent1" w:themeFillTint="33"/>
            <w:vAlign w:val="center"/>
          </w:tcPr>
          <w:p w14:paraId="30B5C53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OD</w:t>
            </w:r>
          </w:p>
        </w:tc>
        <w:tc>
          <w:tcPr>
            <w:tcW w:w="810" w:type="dxa"/>
            <w:shd w:val="clear" w:color="auto" w:fill="DBE5F1" w:themeFill="accent1" w:themeFillTint="33"/>
            <w:vAlign w:val="center"/>
          </w:tcPr>
          <w:p w14:paraId="485B3B3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sustained release tablet</w:t>
            </w:r>
          </w:p>
        </w:tc>
        <w:tc>
          <w:tcPr>
            <w:tcW w:w="540" w:type="dxa"/>
            <w:shd w:val="clear" w:color="auto" w:fill="DBE5F1" w:themeFill="accent1" w:themeFillTint="33"/>
            <w:vAlign w:val="center"/>
          </w:tcPr>
          <w:p w14:paraId="6EFAEF29"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 DD</w:t>
            </w:r>
          </w:p>
        </w:tc>
        <w:tc>
          <w:tcPr>
            <w:tcW w:w="630" w:type="dxa"/>
            <w:shd w:val="clear" w:color="auto" w:fill="DBE5F1" w:themeFill="accent1" w:themeFillTint="33"/>
            <w:vAlign w:val="center"/>
          </w:tcPr>
          <w:p w14:paraId="2BB5FDB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11</w:t>
            </w:r>
          </w:p>
        </w:tc>
        <w:tc>
          <w:tcPr>
            <w:tcW w:w="630" w:type="dxa"/>
            <w:shd w:val="clear" w:color="auto" w:fill="DBE5F1" w:themeFill="accent1" w:themeFillTint="33"/>
            <w:vAlign w:val="center"/>
          </w:tcPr>
          <w:p w14:paraId="7FD33F3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Canada</w:t>
            </w:r>
          </w:p>
        </w:tc>
        <w:tc>
          <w:tcPr>
            <w:tcW w:w="630" w:type="dxa"/>
            <w:shd w:val="clear" w:color="auto" w:fill="DBE5F1" w:themeFill="accent1" w:themeFillTint="33"/>
            <w:vAlign w:val="center"/>
          </w:tcPr>
          <w:p w14:paraId="662C930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1987</w:t>
            </w:r>
          </w:p>
        </w:tc>
        <w:tc>
          <w:tcPr>
            <w:tcW w:w="630" w:type="dxa"/>
            <w:shd w:val="clear" w:color="auto" w:fill="DBE5F1" w:themeFill="accent1" w:themeFillTint="33"/>
            <w:vAlign w:val="center"/>
          </w:tcPr>
          <w:p w14:paraId="5711EF3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42</w:t>
            </w:r>
          </w:p>
        </w:tc>
        <w:tc>
          <w:tcPr>
            <w:tcW w:w="3060" w:type="dxa"/>
            <w:vMerge w:val="restart"/>
            <w:shd w:val="clear" w:color="auto" w:fill="DBE5F1" w:themeFill="accent1" w:themeFillTint="33"/>
            <w:vAlign w:val="center"/>
          </w:tcPr>
          <w:p w14:paraId="661362ED"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-Male and surgically sterile or postmenopausal females aged 18 years or over</w:t>
            </w:r>
            <w:r w:rsidRPr="00174BA8">
              <w:rPr>
                <w:rFonts w:ascii="Times New Roman" w:hAnsi="Times New Roman"/>
                <w:sz w:val="13"/>
                <w:szCs w:val="13"/>
                <w:lang w:val="en-US" w:eastAsia="en-US"/>
              </w:rPr>
              <w:br/>
              <w:t>- mild to moderate OA of the knee or hip characterized by: 1) radiologic evidence of degenerative joint disease; 2) at least mild pain on movement (untreated) of the affected joint requiring analgesic or anti-inflammatory medication; 3) limitation of range of movement and inactivity stiffness</w:t>
            </w:r>
            <w:r w:rsidRPr="00174BA8">
              <w:rPr>
                <w:rFonts w:ascii="Times New Roman" w:hAnsi="Times New Roman"/>
                <w:sz w:val="13"/>
                <w:szCs w:val="13"/>
                <w:lang w:val="en-US" w:eastAsia="en-US"/>
              </w:rPr>
              <w:br/>
              <w:t>- stable OA for three months prior to inclusion in this study, defined as: 1) there has been no major increase in the maximum pain experienced at rest or with activity; 2) there has been no appreciable increase in swelling or effusion; 3) there has been no major change in the range of movement nor increase in the duration of inactivity stiffness</w:t>
            </w:r>
            <w:r w:rsidRPr="00174BA8">
              <w:rPr>
                <w:rFonts w:ascii="Times New Roman" w:hAnsi="Times New Roman"/>
                <w:sz w:val="13"/>
                <w:szCs w:val="13"/>
                <w:lang w:val="en-US" w:eastAsia="en-US"/>
              </w:rPr>
              <w:br/>
              <w:t>- functional status: ARA class I or II.</w:t>
            </w:r>
            <w:r w:rsidRPr="00174BA8">
              <w:rPr>
                <w:rFonts w:ascii="Times New Roman" w:hAnsi="Times New Roman"/>
                <w:sz w:val="13"/>
                <w:szCs w:val="13"/>
                <w:lang w:val="en-US" w:eastAsia="en-US"/>
              </w:rPr>
              <w:br/>
              <w:t>- Medication: Must have required treatment with diclofenac NA or other NSAID for the control of their OA at least one month prior to enrollment in the study</w:t>
            </w:r>
            <w:r w:rsidRPr="00174BA8">
              <w:rPr>
                <w:rFonts w:ascii="Times New Roman" w:hAnsi="Times New Roman"/>
                <w:sz w:val="13"/>
                <w:szCs w:val="13"/>
                <w:lang w:val="en-US" w:eastAsia="en-US"/>
              </w:rPr>
              <w:br/>
              <w:t>- Patients who were taking a pure analgesic treatment (e.g. floctafenine, acetaminophen) for at least one month prior to study enrollment were also eligible</w:t>
            </w:r>
          </w:p>
        </w:tc>
        <w:tc>
          <w:tcPr>
            <w:tcW w:w="4752" w:type="dxa"/>
            <w:gridSpan w:val="2"/>
            <w:vMerge w:val="restart"/>
            <w:shd w:val="clear" w:color="auto" w:fill="DBE5F1" w:themeFill="accent1" w:themeFillTint="33"/>
          </w:tcPr>
          <w:p w14:paraId="10C71CA8" w14:textId="15F48935"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 Patients with: </w:t>
            </w:r>
            <w:r w:rsidRPr="00174BA8">
              <w:rPr>
                <w:rFonts w:ascii="Times New Roman" w:hAnsi="Times New Roman"/>
                <w:sz w:val="13"/>
                <w:szCs w:val="13"/>
                <w:lang w:val="en-US" w:eastAsia="en-US"/>
              </w:rPr>
              <w:br/>
              <w:t>Definite or classical RA; Clinical and serological picture compatible with systemic lupus erythematosus; Histological evidence of RA; Clinical picture, muscle enzymes and/or biopsy consistent with myositis; Definite scleroderma or CRST variant; Picture of rheumatic fever; gouty arthritis or tophi; infectious arthritis; Sjogren's syndrome; Reiter's Syndrome; neurogenic arthrophathy; homogentisic acid in urine; sarcoid or positive K veim test; multiple myeloma,leukemia or lymphoma; erythema nodosum; ankylosing spondylitis; psoriasis or psoriatic arthritis; chondrocalcinosis; aseptic necrosis; polymyalgia rheumatica; anaphylactoid purpura; latex fixation titer greater than 1:60 or a positive FANA; metabolic bone disease; ulcerative colitis; regional enteritis.</w:t>
            </w:r>
            <w:r w:rsidRPr="00174BA8">
              <w:rPr>
                <w:rFonts w:ascii="Times New Roman" w:hAnsi="Times New Roman"/>
                <w:sz w:val="13"/>
                <w:szCs w:val="13"/>
                <w:lang w:val="en-US" w:eastAsia="en-US"/>
              </w:rPr>
              <w:br/>
              <w:t>- Patients with hypersensitivity or intolerance to the study medication or other NSAIDs</w:t>
            </w:r>
            <w:r w:rsidRPr="00174BA8">
              <w:rPr>
                <w:rFonts w:ascii="Times New Roman" w:hAnsi="Times New Roman"/>
                <w:sz w:val="13"/>
                <w:szCs w:val="13"/>
                <w:lang w:val="en-US" w:eastAsia="en-US"/>
              </w:rPr>
              <w:br/>
              <w:t xml:space="preserve">- Patients with abnormal renal function or patients with severe hepatic disease </w:t>
            </w:r>
            <w:r w:rsidRPr="00174BA8">
              <w:rPr>
                <w:rFonts w:ascii="Times New Roman" w:hAnsi="Times New Roman"/>
                <w:sz w:val="13"/>
                <w:szCs w:val="13"/>
                <w:lang w:val="en-US" w:eastAsia="en-US"/>
              </w:rPr>
              <w:br/>
              <w:t>- Patients with a history of other medical conditions for which the study medications were contraindicated: a) MI within previous 6 months; Cardiac arrhythmias; Congestive heart failure; hematologic disorders and bleeding diatheses; peptic ulcer disease or other upper GI abnormalities; regional enteritis or Crohn's disease; ulcerative colitis; asthma or severe chronic obstructive lung disease; epilepsy, parkinsonism or psychosis; arthritis from any other cause.</w:t>
            </w:r>
            <w:r w:rsidRPr="00174BA8">
              <w:rPr>
                <w:rFonts w:ascii="Times New Roman" w:hAnsi="Times New Roman"/>
                <w:sz w:val="13"/>
                <w:szCs w:val="13"/>
                <w:lang w:val="en-US" w:eastAsia="en-US"/>
              </w:rPr>
              <w:br/>
              <w:t>- Drug exclusions within 6 weeks: corticosteroids, analgesic medication other than study and rescue medication, anti-coagulants, lithium, long biological half-life NSAIDs, other investigational drugs</w:t>
            </w:r>
            <w:r w:rsidRPr="00174BA8">
              <w:rPr>
                <w:rFonts w:ascii="Times New Roman" w:hAnsi="Times New Roman"/>
                <w:sz w:val="13"/>
                <w:szCs w:val="13"/>
                <w:lang w:val="en-US" w:eastAsia="en-US"/>
              </w:rPr>
              <w:br/>
              <w:t>- Patients with physiotherapy likely to vary during the study</w:t>
            </w:r>
            <w:r w:rsidRPr="00174BA8">
              <w:rPr>
                <w:rFonts w:ascii="Times New Roman" w:hAnsi="Times New Roman"/>
                <w:sz w:val="13"/>
                <w:szCs w:val="13"/>
                <w:lang w:val="en-US" w:eastAsia="en-US"/>
              </w:rPr>
              <w:br/>
              <w:t>- Patients for which definitive therapy would be delayed by inclusion in the study</w:t>
            </w:r>
            <w:r w:rsidRPr="00174BA8">
              <w:rPr>
                <w:rFonts w:ascii="Times New Roman" w:hAnsi="Times New Roman"/>
                <w:sz w:val="13"/>
                <w:szCs w:val="13"/>
                <w:lang w:val="en-US" w:eastAsia="en-US"/>
              </w:rPr>
              <w:br/>
              <w:t>- Patients with a history of surgery with placement of a prosthetic device in the joint under study</w:t>
            </w:r>
          </w:p>
        </w:tc>
      </w:tr>
      <w:tr w:rsidR="00174BA8" w:rsidRPr="00174BA8" w14:paraId="507E0AC6" w14:textId="77777777" w:rsidTr="008F79C3">
        <w:trPr>
          <w:trHeight w:val="420"/>
        </w:trPr>
        <w:tc>
          <w:tcPr>
            <w:tcW w:w="450" w:type="dxa"/>
            <w:vMerge/>
            <w:shd w:val="clear" w:color="auto" w:fill="DBE5F1" w:themeFill="accent1" w:themeFillTint="33"/>
            <w:noWrap/>
            <w:vAlign w:val="center"/>
          </w:tcPr>
          <w:p w14:paraId="25F016BD"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DBE5F1" w:themeFill="accent1" w:themeFillTint="33"/>
            <w:noWrap/>
            <w:vAlign w:val="center"/>
          </w:tcPr>
          <w:p w14:paraId="06A516A6"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DBE5F1" w:themeFill="accent1" w:themeFillTint="33"/>
            <w:vAlign w:val="center"/>
          </w:tcPr>
          <w:p w14:paraId="06628472" w14:textId="5850C072"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75 mg</w:t>
            </w:r>
          </w:p>
        </w:tc>
        <w:tc>
          <w:tcPr>
            <w:tcW w:w="990" w:type="dxa"/>
            <w:shd w:val="clear" w:color="auto" w:fill="DBE5F1" w:themeFill="accent1" w:themeFillTint="33"/>
            <w:vAlign w:val="center"/>
          </w:tcPr>
          <w:p w14:paraId="0C7FCE5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DBE5F1" w:themeFill="accent1" w:themeFillTint="33"/>
            <w:vAlign w:val="center"/>
          </w:tcPr>
          <w:p w14:paraId="1E1C0A5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DBE5F1" w:themeFill="accent1" w:themeFillTint="33"/>
            <w:vAlign w:val="center"/>
          </w:tcPr>
          <w:p w14:paraId="34C6906A"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409F0B4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308145D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6A60294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061C9E8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DBE5F1" w:themeFill="accent1" w:themeFillTint="33"/>
            <w:vAlign w:val="center"/>
          </w:tcPr>
          <w:p w14:paraId="12F96B32"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DBE5F1" w:themeFill="accent1" w:themeFillTint="33"/>
            <w:vAlign w:val="center"/>
          </w:tcPr>
          <w:p w14:paraId="059216B6"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53A43ECA" w14:textId="77777777" w:rsidTr="008F79C3">
        <w:trPr>
          <w:trHeight w:val="4247"/>
        </w:trPr>
        <w:tc>
          <w:tcPr>
            <w:tcW w:w="450" w:type="dxa"/>
            <w:vMerge w:val="restart"/>
            <w:shd w:val="clear" w:color="auto" w:fill="auto"/>
            <w:noWrap/>
            <w:vAlign w:val="center"/>
          </w:tcPr>
          <w:p w14:paraId="0E7032C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lastRenderedPageBreak/>
              <w:t>3</w:t>
            </w:r>
          </w:p>
        </w:tc>
        <w:tc>
          <w:tcPr>
            <w:tcW w:w="900" w:type="dxa"/>
            <w:shd w:val="clear" w:color="auto" w:fill="auto"/>
            <w:noWrap/>
            <w:vAlign w:val="center"/>
          </w:tcPr>
          <w:p w14:paraId="01590F3B"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auto"/>
            <w:vAlign w:val="center"/>
          </w:tcPr>
          <w:p w14:paraId="50AA057A" w14:textId="2CF3BD44"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auto"/>
            <w:vAlign w:val="center"/>
          </w:tcPr>
          <w:p w14:paraId="25A0F84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auto" w:fill="auto"/>
            <w:vAlign w:val="center"/>
          </w:tcPr>
          <w:p w14:paraId="2B60C03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sustained release tablet</w:t>
            </w:r>
          </w:p>
        </w:tc>
        <w:tc>
          <w:tcPr>
            <w:tcW w:w="540" w:type="dxa"/>
            <w:shd w:val="clear" w:color="auto" w:fill="auto"/>
            <w:vAlign w:val="center"/>
          </w:tcPr>
          <w:p w14:paraId="39BBA9D8"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auto"/>
            <w:vAlign w:val="center"/>
          </w:tcPr>
          <w:p w14:paraId="6F6F9A7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11</w:t>
            </w:r>
          </w:p>
        </w:tc>
        <w:tc>
          <w:tcPr>
            <w:tcW w:w="630" w:type="dxa"/>
            <w:shd w:val="clear" w:color="auto" w:fill="auto"/>
            <w:vAlign w:val="center"/>
          </w:tcPr>
          <w:p w14:paraId="2785764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Canada</w:t>
            </w:r>
          </w:p>
        </w:tc>
        <w:tc>
          <w:tcPr>
            <w:tcW w:w="630" w:type="dxa"/>
            <w:shd w:val="clear" w:color="auto" w:fill="auto"/>
            <w:vAlign w:val="center"/>
          </w:tcPr>
          <w:p w14:paraId="4617AB0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1987</w:t>
            </w:r>
          </w:p>
        </w:tc>
        <w:tc>
          <w:tcPr>
            <w:tcW w:w="630" w:type="dxa"/>
            <w:shd w:val="clear" w:color="auto" w:fill="auto"/>
            <w:vAlign w:val="center"/>
          </w:tcPr>
          <w:p w14:paraId="150A1E7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42</w:t>
            </w:r>
          </w:p>
        </w:tc>
        <w:tc>
          <w:tcPr>
            <w:tcW w:w="3060" w:type="dxa"/>
            <w:vMerge w:val="restart"/>
            <w:shd w:val="clear" w:color="auto" w:fill="auto"/>
            <w:vAlign w:val="center"/>
          </w:tcPr>
          <w:p w14:paraId="403E8D2C"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Male or female patients</w:t>
            </w:r>
            <w:r w:rsidRPr="00174BA8">
              <w:rPr>
                <w:rFonts w:ascii="Times New Roman" w:hAnsi="Times New Roman"/>
                <w:sz w:val="13"/>
                <w:szCs w:val="13"/>
                <w:lang w:val="en-US" w:eastAsia="en-US"/>
              </w:rPr>
              <w:br/>
              <w:t>- 18 to 65 years of age</w:t>
            </w:r>
            <w:r w:rsidRPr="00174BA8">
              <w:rPr>
                <w:rFonts w:ascii="Times New Roman" w:hAnsi="Times New Roman"/>
                <w:sz w:val="13"/>
                <w:szCs w:val="13"/>
                <w:lang w:val="en-US" w:eastAsia="en-US"/>
              </w:rPr>
              <w:br/>
              <w:t>- At entry, all patients displayed clinical evidence of severe osteoarthritis of the knee or hip, characterized by all of the following: a) radiological evidence of degenerative joint disease, including joint space narrowing, subchondral bony sclerosis, bone cysts, or gross deformity and sublaxation and/or loose bodies; b) at least severe pain on movement of the affected joint requiring analgesic or anti-inflammatory medication, and c) limitation of range of movement and inactivity stiffness.</w:t>
            </w:r>
            <w:r w:rsidRPr="00174BA8">
              <w:rPr>
                <w:rFonts w:ascii="Times New Roman" w:hAnsi="Times New Roman"/>
                <w:sz w:val="13"/>
                <w:szCs w:val="13"/>
                <w:lang w:val="en-US" w:eastAsia="en-US"/>
              </w:rPr>
              <w:br/>
              <w:t>- The patient’s osteoarthritis must have been relatively stable for the three months prior to inclusion in the study. Stable disease was defined as an affected joint in which there had been:</w:t>
            </w:r>
            <w:r w:rsidRPr="00174BA8">
              <w:rPr>
                <w:rFonts w:ascii="Times New Roman" w:hAnsi="Times New Roman"/>
                <w:sz w:val="13"/>
                <w:szCs w:val="13"/>
                <w:lang w:val="en-US" w:eastAsia="en-US"/>
              </w:rPr>
              <w:br/>
              <w:t>a) No major increase in the maximum pain experienced at rest or with activity</w:t>
            </w:r>
            <w:r w:rsidRPr="00174BA8">
              <w:rPr>
                <w:rFonts w:ascii="Times New Roman" w:hAnsi="Times New Roman"/>
                <w:sz w:val="13"/>
                <w:szCs w:val="13"/>
                <w:lang w:val="en-US" w:eastAsia="en-US"/>
              </w:rPr>
              <w:br/>
              <w:t>b) No appreciable increase in swelling or effusion</w:t>
            </w:r>
            <w:r w:rsidRPr="00174BA8">
              <w:rPr>
                <w:rFonts w:ascii="Times New Roman" w:hAnsi="Times New Roman"/>
                <w:sz w:val="13"/>
                <w:szCs w:val="13"/>
                <w:lang w:val="en-US" w:eastAsia="en-US"/>
              </w:rPr>
              <w:br/>
              <w:t xml:space="preserve">c) No major change in the range of movement nor increase in the duration of inactivity stiffness. </w:t>
            </w:r>
            <w:r w:rsidRPr="00174BA8">
              <w:rPr>
                <w:rFonts w:ascii="Times New Roman" w:hAnsi="Times New Roman"/>
                <w:sz w:val="13"/>
                <w:szCs w:val="13"/>
                <w:lang w:val="en-US" w:eastAsia="en-US"/>
              </w:rPr>
              <w:br/>
              <w:t>- Patients belonging to ARA Class III or IV were eligible to participate in the study.</w:t>
            </w:r>
            <w:r w:rsidRPr="00174BA8">
              <w:rPr>
                <w:rFonts w:ascii="Times New Roman" w:hAnsi="Times New Roman"/>
                <w:sz w:val="13"/>
                <w:szCs w:val="13"/>
                <w:lang w:val="en-US" w:eastAsia="en-US"/>
              </w:rPr>
              <w:br/>
              <w:t>- Patients must have required treatment with diclofenac Na or other NSAID for the control of their osteoarthritis for at least one month prior to enrollment in the study. Alternatively, patients who were taking a pure analgesic treatment (e.g. floctafenine, acetaminophen) for at least one month prior to study enrollment were also eligible.</w:t>
            </w:r>
          </w:p>
          <w:p w14:paraId="3ABAACB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4752" w:type="dxa"/>
            <w:gridSpan w:val="2"/>
            <w:vMerge w:val="restart"/>
            <w:shd w:val="clear" w:color="auto" w:fill="auto"/>
            <w:vAlign w:val="center"/>
          </w:tcPr>
          <w:p w14:paraId="26800F18" w14:textId="61407D36"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 Patients exhibiting any of the following: </w:t>
            </w:r>
            <w:r w:rsidRPr="00174BA8">
              <w:rPr>
                <w:rFonts w:ascii="Times New Roman" w:hAnsi="Times New Roman"/>
                <w:sz w:val="13"/>
                <w:szCs w:val="13"/>
                <w:lang w:val="en-US" w:eastAsia="en-US"/>
              </w:rPr>
              <w:br/>
              <w:t>definite or classical rheumatoid arthritis, clinical and serological picture compatible with systemic lupus erythematosus, histologic evidence of rheumatoid arthritis, clinical picture, muscle enzymes and/or biopsy consistent with myositis, definite scleroderma or CRST variant, rheumatic fever, gouty arthritis or tophi, infectious arthritis,  Sjorgen’s Syndrome, Reiter’s Syndrome, neurogenic arthrophathy, homogentisic acid in the urine, histological evidence of sarcoid or positive K veim test, evidence of multiple myeloma, leukemia or lymphoma, characteristic skin lesions of erythema nodosum, ankylosing spondylitis, psoriasis or psoriatic arthritis, chondrocalcinosis (pseudogout), aseptic necrosis (acute phase), polymyalgia rheumatic, anaphylactoid purpura, latex fixation titer greater than 1:60 or a positive FANA, metabolic bone disease, ulcerative colitis, regional enteritis.</w:t>
            </w:r>
            <w:r w:rsidRPr="00174BA8">
              <w:rPr>
                <w:rFonts w:ascii="Times New Roman" w:hAnsi="Times New Roman"/>
                <w:sz w:val="13"/>
                <w:szCs w:val="13"/>
                <w:lang w:val="en-US" w:eastAsia="en-US"/>
              </w:rPr>
              <w:br/>
              <w:t xml:space="preserve">- Patients in an acute phase of their osteoarthritis </w:t>
            </w:r>
          </w:p>
          <w:p w14:paraId="19CFCAD0" w14:textId="32B0701A" w:rsidR="00121976" w:rsidRPr="00174BA8" w:rsidRDefault="00121976" w:rsidP="002B467A">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Known hypersensitivity or intolerance to either of the study medications or cross-sensitivity to ASA or other non-steroidal anti-inflammatory agents.</w:t>
            </w:r>
            <w:r w:rsidRPr="00174BA8">
              <w:rPr>
                <w:rFonts w:ascii="Times New Roman" w:hAnsi="Times New Roman"/>
                <w:sz w:val="13"/>
                <w:szCs w:val="13"/>
                <w:lang w:val="en-US" w:eastAsia="en-US"/>
              </w:rPr>
              <w:br/>
              <w:t>- Abnormality of renal function, severe hepatic disease with laboratory evaluation of function greater than 40% above the upper limit of the normal range.</w:t>
            </w:r>
            <w:r w:rsidRPr="00174BA8">
              <w:rPr>
                <w:rFonts w:ascii="Times New Roman" w:hAnsi="Times New Roman"/>
                <w:sz w:val="13"/>
                <w:szCs w:val="13"/>
                <w:lang w:val="en-US" w:eastAsia="en-US"/>
              </w:rPr>
              <w:br/>
              <w:t>- Patients with a history of other medical conditions: Myocardial infarction within previous six months, Cardiac arrhythmias, including bradycardia, tachycardia, paroxysmal atrial tachycardia, palpitations, atrial fibrillation, frequent extrasystoles, and premature ventricular contraction, congestive heart failure, hematologic disorders and bleeding diatheses, Peptic ulcer disease or other major abnormalities of the upper gastrointestinal tract which require or have required treatment, Regional enteritis or Crohn’s disease, ulcerative colitis, asthma or severe chronic obstructive lung disease, epilepsy, parkinsonism or psychosis, arthritis from any other cause</w:t>
            </w:r>
            <w:r w:rsidRPr="00174BA8">
              <w:rPr>
                <w:rFonts w:ascii="Times New Roman" w:hAnsi="Times New Roman"/>
                <w:sz w:val="13"/>
                <w:szCs w:val="13"/>
                <w:lang w:val="en-US" w:eastAsia="en-US"/>
              </w:rPr>
              <w:br/>
              <w:t>- Patients who had suffered from major systemic illnesses, including infection or surgery within the previous three months were also excluded.</w:t>
            </w:r>
            <w:r w:rsidRPr="00174BA8">
              <w:rPr>
                <w:rFonts w:ascii="Times New Roman" w:hAnsi="Times New Roman"/>
                <w:sz w:val="13"/>
                <w:szCs w:val="13"/>
                <w:lang w:val="en-US" w:eastAsia="en-US"/>
              </w:rPr>
              <w:br/>
              <w:t>- Drug exclusions included receipt of the following medications: corticosteroids by oral, IM or intra-articular routes within 6 weeks, analgesic medications including ASA/salicyclic acid formulations other than the study and rescue medications, anti-coagulants, lithium, long biological half-life non-steroidal anti-inflammatory drugs (i.e. piroxicam), or other investigational drugs</w:t>
            </w:r>
            <w:r w:rsidRPr="00174BA8">
              <w:rPr>
                <w:rFonts w:ascii="Times New Roman" w:hAnsi="Times New Roman"/>
                <w:sz w:val="13"/>
                <w:szCs w:val="13"/>
                <w:lang w:val="en-US" w:eastAsia="en-US"/>
              </w:rPr>
              <w:br/>
            </w:r>
          </w:p>
        </w:tc>
      </w:tr>
      <w:tr w:rsidR="00174BA8" w:rsidRPr="00174BA8" w14:paraId="0B7F6D3D" w14:textId="77777777" w:rsidTr="008F79C3">
        <w:trPr>
          <w:trHeight w:val="420"/>
        </w:trPr>
        <w:tc>
          <w:tcPr>
            <w:tcW w:w="450" w:type="dxa"/>
            <w:vMerge/>
            <w:shd w:val="clear" w:color="auto" w:fill="auto"/>
            <w:noWrap/>
            <w:vAlign w:val="center"/>
          </w:tcPr>
          <w:p w14:paraId="5F09B22F"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auto"/>
            <w:noWrap/>
            <w:vAlign w:val="center"/>
          </w:tcPr>
          <w:p w14:paraId="1205970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auto"/>
            <w:vAlign w:val="center"/>
          </w:tcPr>
          <w:p w14:paraId="7B7EEAB6" w14:textId="1DB0AA1B"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auto"/>
            <w:vAlign w:val="center"/>
          </w:tcPr>
          <w:p w14:paraId="4EFF30C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auto"/>
            <w:vAlign w:val="center"/>
          </w:tcPr>
          <w:p w14:paraId="2EFFAC2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auto"/>
            <w:vAlign w:val="center"/>
          </w:tcPr>
          <w:p w14:paraId="217BDD7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27EBBF6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1A1B7DF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2BBCE7A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09104AA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auto"/>
            <w:vAlign w:val="center"/>
          </w:tcPr>
          <w:p w14:paraId="510D106F"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4752" w:type="dxa"/>
            <w:gridSpan w:val="2"/>
            <w:vMerge/>
            <w:shd w:val="clear" w:color="auto" w:fill="auto"/>
            <w:vAlign w:val="center"/>
          </w:tcPr>
          <w:p w14:paraId="7D3C4065" w14:textId="77777777" w:rsidR="00121976" w:rsidRPr="00174BA8" w:rsidRDefault="00121976" w:rsidP="007E0FCD">
            <w:pPr>
              <w:spacing w:after="0" w:line="240" w:lineRule="auto"/>
              <w:jc w:val="center"/>
              <w:rPr>
                <w:rFonts w:ascii="Times New Roman" w:hAnsi="Times New Roman"/>
                <w:sz w:val="13"/>
                <w:szCs w:val="13"/>
                <w:lang w:val="en-US" w:eastAsia="en-US"/>
              </w:rPr>
            </w:pPr>
          </w:p>
        </w:tc>
      </w:tr>
      <w:tr w:rsidR="00174BA8" w:rsidRPr="00174BA8" w14:paraId="6E42C91E" w14:textId="77777777" w:rsidTr="008F79C3">
        <w:trPr>
          <w:trHeight w:val="2977"/>
        </w:trPr>
        <w:tc>
          <w:tcPr>
            <w:tcW w:w="450" w:type="dxa"/>
            <w:vMerge w:val="restart"/>
            <w:shd w:val="clear" w:color="auto" w:fill="DBE5F1" w:themeFill="accent1" w:themeFillTint="33"/>
            <w:noWrap/>
            <w:vAlign w:val="center"/>
          </w:tcPr>
          <w:p w14:paraId="328E6B1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4</w:t>
            </w:r>
          </w:p>
        </w:tc>
        <w:tc>
          <w:tcPr>
            <w:tcW w:w="900" w:type="dxa"/>
            <w:shd w:val="clear" w:color="auto" w:fill="DBE5F1" w:themeFill="accent1" w:themeFillTint="33"/>
            <w:noWrap/>
            <w:vAlign w:val="center"/>
          </w:tcPr>
          <w:p w14:paraId="1CAF387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DBE5F1" w:themeFill="accent1" w:themeFillTint="33"/>
            <w:vAlign w:val="center"/>
          </w:tcPr>
          <w:p w14:paraId="0915B7F3" w14:textId="1D7A7D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100/150 mg</w:t>
            </w:r>
          </w:p>
        </w:tc>
        <w:tc>
          <w:tcPr>
            <w:tcW w:w="990" w:type="dxa"/>
            <w:shd w:val="clear" w:color="auto" w:fill="DBE5F1" w:themeFill="accent1" w:themeFillTint="33"/>
            <w:vAlign w:val="center"/>
          </w:tcPr>
          <w:p w14:paraId="213E97C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BID/TID</w:t>
            </w:r>
          </w:p>
        </w:tc>
        <w:tc>
          <w:tcPr>
            <w:tcW w:w="810" w:type="dxa"/>
            <w:shd w:val="clear" w:color="auto" w:fill="DBE5F1" w:themeFill="accent1" w:themeFillTint="33"/>
            <w:vAlign w:val="center"/>
          </w:tcPr>
          <w:p w14:paraId="79519777"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DBE5F1" w:themeFill="accent1" w:themeFillTint="33"/>
            <w:vAlign w:val="center"/>
          </w:tcPr>
          <w:p w14:paraId="4A2C98D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DBE5F1" w:themeFill="accent1" w:themeFillTint="33"/>
            <w:vAlign w:val="center"/>
          </w:tcPr>
          <w:p w14:paraId="2BEFECB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24</w:t>
            </w:r>
          </w:p>
        </w:tc>
        <w:tc>
          <w:tcPr>
            <w:tcW w:w="630" w:type="dxa"/>
            <w:shd w:val="clear" w:color="auto" w:fill="DBE5F1" w:themeFill="accent1" w:themeFillTint="33"/>
            <w:vAlign w:val="center"/>
          </w:tcPr>
          <w:p w14:paraId="2E59BB7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US</w:t>
            </w:r>
          </w:p>
        </w:tc>
        <w:tc>
          <w:tcPr>
            <w:tcW w:w="630" w:type="dxa"/>
            <w:shd w:val="clear" w:color="auto" w:fill="DBE5F1" w:themeFill="accent1" w:themeFillTint="33"/>
            <w:vAlign w:val="center"/>
          </w:tcPr>
          <w:p w14:paraId="4379B5E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1983</w:t>
            </w:r>
          </w:p>
        </w:tc>
        <w:tc>
          <w:tcPr>
            <w:tcW w:w="630" w:type="dxa"/>
            <w:shd w:val="clear" w:color="auto" w:fill="DBE5F1" w:themeFill="accent1" w:themeFillTint="33"/>
            <w:vAlign w:val="center"/>
          </w:tcPr>
          <w:p w14:paraId="2F44011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060" w:type="dxa"/>
            <w:vMerge w:val="restart"/>
            <w:shd w:val="clear" w:color="auto" w:fill="DBE5F1" w:themeFill="accent1" w:themeFillTint="33"/>
            <w:vAlign w:val="center"/>
          </w:tcPr>
          <w:p w14:paraId="5EEA7C3C" w14:textId="35C95D01"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Outpatients of both sexes</w:t>
            </w:r>
            <w:r w:rsidRPr="00174BA8">
              <w:rPr>
                <w:rFonts w:ascii="Times New Roman" w:hAnsi="Times New Roman"/>
                <w:sz w:val="13"/>
                <w:szCs w:val="13"/>
                <w:lang w:val="en-US" w:eastAsia="en-US"/>
              </w:rPr>
              <w:br/>
              <w:t>- Age 40 to 75 inclusive</w:t>
            </w:r>
            <w:r w:rsidRPr="00174BA8">
              <w:rPr>
                <w:rFonts w:ascii="Times New Roman" w:hAnsi="Times New Roman"/>
                <w:sz w:val="13"/>
                <w:szCs w:val="13"/>
                <w:lang w:val="en-US" w:eastAsia="en-US"/>
              </w:rPr>
              <w:br/>
              <w:t>- Patients with a diagnosis of OA of the hip, who have required regular treatment with aspirin and/or other NSAIDs for the control of the signs or symptoms of their disease, for at least three months prior to enrollment in the trial</w:t>
            </w:r>
            <w:r w:rsidRPr="00174BA8">
              <w:rPr>
                <w:rFonts w:ascii="Times New Roman" w:hAnsi="Times New Roman"/>
                <w:sz w:val="13"/>
                <w:szCs w:val="13"/>
                <w:lang w:val="en-US" w:eastAsia="en-US"/>
              </w:rPr>
              <w:br/>
              <w:t>- Patients must belong to ARA functional Class II or III</w:t>
            </w:r>
            <w:r w:rsidRPr="00174BA8">
              <w:rPr>
                <w:rFonts w:ascii="Times New Roman" w:hAnsi="Times New Roman"/>
                <w:sz w:val="13"/>
                <w:szCs w:val="13"/>
                <w:lang w:val="en-US" w:eastAsia="en-US"/>
              </w:rPr>
              <w:br/>
              <w:t>- Patients on physiotherapy may be included, provided the program is not changed during the trial</w:t>
            </w:r>
            <w:r w:rsidRPr="00174BA8">
              <w:rPr>
                <w:rFonts w:ascii="Times New Roman" w:hAnsi="Times New Roman"/>
                <w:sz w:val="13"/>
                <w:szCs w:val="13"/>
                <w:lang w:val="en-US" w:eastAsia="en-US"/>
              </w:rPr>
              <w:br/>
              <w:t xml:space="preserve">- Patients must have evidence of active disease during the placebo washout period to qualify for entry into the double-blind phase of the study </w:t>
            </w:r>
            <w:r w:rsidRPr="00174BA8">
              <w:rPr>
                <w:rFonts w:ascii="Times New Roman" w:hAnsi="Times New Roman"/>
                <w:sz w:val="13"/>
                <w:szCs w:val="13"/>
                <w:lang w:val="en-US" w:eastAsia="en-US"/>
              </w:rPr>
              <w:br/>
              <w:t>- Patients with the diagnosis of primary osteoarthritis or secondary osteoarthritis of the hip due to trauma, slipped femoral epiphysis. The acute disease leading to secondary OA must have occurred at least five years prior to entry into the study</w:t>
            </w:r>
          </w:p>
        </w:tc>
        <w:tc>
          <w:tcPr>
            <w:tcW w:w="4752" w:type="dxa"/>
            <w:gridSpan w:val="2"/>
            <w:vMerge w:val="restart"/>
            <w:shd w:val="clear" w:color="auto" w:fill="DBE5F1" w:themeFill="accent1" w:themeFillTint="33"/>
            <w:vAlign w:val="center"/>
          </w:tcPr>
          <w:p w14:paraId="64AD026E" w14:textId="217FE4DF"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Patients with arthritis due to any other etiology</w:t>
            </w:r>
            <w:r w:rsidRPr="00174BA8">
              <w:rPr>
                <w:rFonts w:ascii="Times New Roman" w:hAnsi="Times New Roman"/>
                <w:sz w:val="13"/>
                <w:szCs w:val="13"/>
                <w:lang w:val="en-US" w:eastAsia="en-US"/>
              </w:rPr>
              <w:br/>
              <w:t>- Candidates for joint replacement</w:t>
            </w:r>
            <w:r w:rsidRPr="00174BA8">
              <w:rPr>
                <w:rFonts w:ascii="Times New Roman" w:hAnsi="Times New Roman"/>
                <w:sz w:val="13"/>
                <w:szCs w:val="13"/>
                <w:lang w:val="en-US" w:eastAsia="en-US"/>
              </w:rPr>
              <w:br/>
              <w:t>- Patients who do not show evidence of active disease upon completion of two weeks placebo washout period. A minimum of 48 hours placebo washout is required</w:t>
            </w:r>
            <w:r w:rsidRPr="00174BA8">
              <w:rPr>
                <w:rFonts w:ascii="Times New Roman" w:hAnsi="Times New Roman"/>
                <w:sz w:val="13"/>
                <w:szCs w:val="13"/>
                <w:lang w:val="en-US" w:eastAsia="en-US"/>
              </w:rPr>
              <w:br/>
              <w:t>- Patients who have: Active peptic ulcer, current gastritis, regional enteritis or ulcerative colitis. history of recurrent peptic ulcer and either gastrectomy or significant gastrointestinal bleeding, presence of a malabsorption syndrome or disease, as well as an ileal shunt or any form of intestinal by-pass operation, Cirrhosis, hepatitis, and any other infectious disease involving the liver, including conditions significantly affecting hepatic function such as hepatic failure, drug-induced hepatotoxicity and conditions causing biliary obstruction. Laboratory values in excess of 30% above the upper limit of the normal range for the following tests: SGOT, LDH, Alkaline Phosphatase, Bilirubin (total), Uremia, chronic glomerulonephritis, nephrosis, obstruction of the urinary tract, any form of pyelonephritis, and laboratory values in excess of 30% above the upper limit of the normal range for the following tests: serum uric acid, serum creatinine, Recent myocardial infarction (less than 3 months); uncontrolled: congestive cardiac failure, hypertension diabetes mellitus, coronary artery disease. A history of hemorrhagic diathesis or agranulocytosis, Uncontrolled hypo- or hyperthyroidism; adrenal insufficiency (Addison's Disease), A major systemic infection or major surgery during the previous three months, Concomitant use of anticoagulants,  Diabetes mellitus treated with insulin or oral hypoglycemic agents</w:t>
            </w:r>
            <w:r w:rsidRPr="00174BA8">
              <w:rPr>
                <w:rFonts w:ascii="Times New Roman" w:hAnsi="Times New Roman"/>
                <w:sz w:val="13"/>
                <w:szCs w:val="13"/>
                <w:lang w:val="en-US" w:eastAsia="en-US"/>
              </w:rPr>
              <w:br/>
              <w:t>- Hypersensitivity, or who develop attacks of asthma, urticaria, or acute rhinitis, following treatment with aspirin or other agents with prostaglandin synthetase inhibiting activity</w:t>
            </w:r>
            <w:r w:rsidRPr="00174BA8">
              <w:rPr>
                <w:rFonts w:ascii="Times New Roman" w:hAnsi="Times New Roman"/>
                <w:sz w:val="13"/>
                <w:szCs w:val="13"/>
                <w:lang w:val="en-US" w:eastAsia="en-US"/>
              </w:rPr>
              <w:br/>
              <w:t>- Require other analgesic or anti-inflammatory agents, or corticosteroids, orally or intra-articularly</w:t>
            </w:r>
          </w:p>
          <w:p w14:paraId="5C4320BB" w14:textId="5C7C7C03" w:rsidR="00121976" w:rsidRPr="00174BA8" w:rsidRDefault="00121976" w:rsidP="00121976">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 Patients whose serum salicylate level is &gt;10 mg during or upon completion of the </w:t>
            </w:r>
            <w:r w:rsidRPr="00174BA8">
              <w:rPr>
                <w:rFonts w:ascii="Times New Roman" w:hAnsi="Times New Roman"/>
                <w:sz w:val="13"/>
                <w:szCs w:val="13"/>
                <w:lang w:val="en-US" w:eastAsia="en-US"/>
              </w:rPr>
              <w:lastRenderedPageBreak/>
              <w:t xml:space="preserve">placebo washout period </w:t>
            </w:r>
            <w:r w:rsidRPr="00174BA8">
              <w:rPr>
                <w:rFonts w:ascii="Times New Roman" w:hAnsi="Times New Roman"/>
                <w:sz w:val="13"/>
                <w:szCs w:val="13"/>
                <w:lang w:val="en-US" w:eastAsia="en-US"/>
              </w:rPr>
              <w:br/>
              <w:t>- Patients who received local corticosteroid injections for the treatment of OA less than 3 months prior to entry into this study</w:t>
            </w:r>
            <w:r w:rsidRPr="00174BA8">
              <w:rPr>
                <w:rFonts w:ascii="Times New Roman" w:hAnsi="Times New Roman"/>
                <w:sz w:val="13"/>
                <w:szCs w:val="13"/>
                <w:lang w:val="en-US" w:eastAsia="en-US"/>
              </w:rPr>
              <w:br/>
              <w:t>- The patient's joint to be evaluated should not have been partially or totally subjected to joint replacement surgery</w:t>
            </w:r>
          </w:p>
        </w:tc>
      </w:tr>
      <w:tr w:rsidR="00174BA8" w:rsidRPr="00174BA8" w14:paraId="2A2F2E95" w14:textId="77777777" w:rsidTr="008F79C3">
        <w:trPr>
          <w:trHeight w:val="693"/>
        </w:trPr>
        <w:tc>
          <w:tcPr>
            <w:tcW w:w="450" w:type="dxa"/>
            <w:vMerge/>
            <w:shd w:val="clear" w:color="auto" w:fill="DBE5F1" w:themeFill="accent1" w:themeFillTint="33"/>
            <w:noWrap/>
            <w:vAlign w:val="center"/>
          </w:tcPr>
          <w:p w14:paraId="132A806F"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DBE5F1" w:themeFill="accent1" w:themeFillTint="33"/>
            <w:noWrap/>
            <w:vAlign w:val="center"/>
          </w:tcPr>
          <w:p w14:paraId="608DD19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Aspirin</w:t>
            </w:r>
          </w:p>
        </w:tc>
        <w:tc>
          <w:tcPr>
            <w:tcW w:w="810" w:type="dxa"/>
            <w:shd w:val="clear" w:color="auto" w:fill="DBE5F1" w:themeFill="accent1" w:themeFillTint="33"/>
            <w:vAlign w:val="center"/>
          </w:tcPr>
          <w:p w14:paraId="3BAEF263" w14:textId="7F2C05C9"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2400/3600 mg</w:t>
            </w:r>
          </w:p>
        </w:tc>
        <w:tc>
          <w:tcPr>
            <w:tcW w:w="990" w:type="dxa"/>
            <w:shd w:val="clear" w:color="auto" w:fill="DBE5F1" w:themeFill="accent1" w:themeFillTint="33"/>
            <w:vAlign w:val="center"/>
          </w:tcPr>
          <w:p w14:paraId="419599F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QID</w:t>
            </w:r>
          </w:p>
        </w:tc>
        <w:tc>
          <w:tcPr>
            <w:tcW w:w="810" w:type="dxa"/>
            <w:shd w:val="clear" w:color="auto" w:fill="DBE5F1" w:themeFill="accent1" w:themeFillTint="33"/>
            <w:vAlign w:val="center"/>
          </w:tcPr>
          <w:p w14:paraId="23400540"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540" w:type="dxa"/>
            <w:shd w:val="clear" w:color="auto" w:fill="DBE5F1" w:themeFill="accent1" w:themeFillTint="33"/>
            <w:vAlign w:val="center"/>
          </w:tcPr>
          <w:p w14:paraId="6A16396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71A4CD07"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5A5A709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5A9F269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2698CD8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DBE5F1" w:themeFill="accent1" w:themeFillTint="33"/>
            <w:vAlign w:val="center"/>
          </w:tcPr>
          <w:p w14:paraId="4F12210A"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4752" w:type="dxa"/>
            <w:gridSpan w:val="2"/>
            <w:vMerge/>
            <w:shd w:val="clear" w:color="auto" w:fill="DBE5F1" w:themeFill="accent1" w:themeFillTint="33"/>
            <w:vAlign w:val="center"/>
          </w:tcPr>
          <w:p w14:paraId="058A6AC8" w14:textId="77777777" w:rsidR="00121976" w:rsidRPr="00174BA8" w:rsidRDefault="00121976" w:rsidP="007E0FCD">
            <w:pPr>
              <w:spacing w:after="0" w:line="240" w:lineRule="auto"/>
              <w:jc w:val="center"/>
              <w:rPr>
                <w:rFonts w:ascii="Times New Roman" w:hAnsi="Times New Roman"/>
                <w:sz w:val="13"/>
                <w:szCs w:val="13"/>
                <w:lang w:val="en-US" w:eastAsia="en-US"/>
              </w:rPr>
            </w:pPr>
          </w:p>
        </w:tc>
      </w:tr>
      <w:tr w:rsidR="00174BA8" w:rsidRPr="00174BA8" w14:paraId="0B454A8F" w14:textId="77777777" w:rsidTr="008F79C3">
        <w:trPr>
          <w:trHeight w:val="1709"/>
        </w:trPr>
        <w:tc>
          <w:tcPr>
            <w:tcW w:w="450" w:type="dxa"/>
            <w:vMerge w:val="restart"/>
            <w:shd w:val="clear" w:color="auto" w:fill="auto"/>
            <w:noWrap/>
            <w:vAlign w:val="center"/>
          </w:tcPr>
          <w:p w14:paraId="6F1ADF3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5</w:t>
            </w:r>
          </w:p>
        </w:tc>
        <w:tc>
          <w:tcPr>
            <w:tcW w:w="900" w:type="dxa"/>
            <w:shd w:val="clear" w:color="auto" w:fill="auto"/>
            <w:noWrap/>
            <w:vAlign w:val="center"/>
          </w:tcPr>
          <w:p w14:paraId="74F35AE9"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auto"/>
            <w:vAlign w:val="center"/>
          </w:tcPr>
          <w:p w14:paraId="36F3938E" w14:textId="56E6DBC4"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100/150 mg</w:t>
            </w:r>
          </w:p>
        </w:tc>
        <w:tc>
          <w:tcPr>
            <w:tcW w:w="990" w:type="dxa"/>
            <w:shd w:val="clear" w:color="auto" w:fill="auto"/>
            <w:vAlign w:val="center"/>
          </w:tcPr>
          <w:p w14:paraId="3970929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 (100mg/day)</w:t>
            </w:r>
            <w:r w:rsidRPr="00174BA8">
              <w:rPr>
                <w:rFonts w:ascii="Times New Roman" w:hAnsi="Times New Roman"/>
                <w:sz w:val="13"/>
                <w:szCs w:val="13"/>
                <w:lang w:val="en-US" w:eastAsia="en-US"/>
              </w:rPr>
              <w:br/>
              <w:t>TID (150mg/day)</w:t>
            </w:r>
          </w:p>
        </w:tc>
        <w:tc>
          <w:tcPr>
            <w:tcW w:w="810" w:type="dxa"/>
            <w:shd w:val="clear" w:color="auto" w:fill="auto"/>
            <w:vAlign w:val="center"/>
          </w:tcPr>
          <w:p w14:paraId="2EB57DA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auto"/>
            <w:vAlign w:val="center"/>
          </w:tcPr>
          <w:p w14:paraId="03A36497"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auto"/>
            <w:vAlign w:val="center"/>
          </w:tcPr>
          <w:p w14:paraId="2E56A94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24</w:t>
            </w:r>
          </w:p>
        </w:tc>
        <w:tc>
          <w:tcPr>
            <w:tcW w:w="630" w:type="dxa"/>
            <w:shd w:val="clear" w:color="auto" w:fill="auto"/>
            <w:vAlign w:val="center"/>
          </w:tcPr>
          <w:p w14:paraId="4DA9F4D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US</w:t>
            </w:r>
          </w:p>
        </w:tc>
        <w:tc>
          <w:tcPr>
            <w:tcW w:w="630" w:type="dxa"/>
            <w:shd w:val="clear" w:color="auto" w:fill="auto"/>
            <w:vAlign w:val="center"/>
          </w:tcPr>
          <w:p w14:paraId="0C23D93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1980</w:t>
            </w:r>
          </w:p>
        </w:tc>
        <w:tc>
          <w:tcPr>
            <w:tcW w:w="630" w:type="dxa"/>
            <w:shd w:val="clear" w:color="auto" w:fill="auto"/>
            <w:vAlign w:val="center"/>
          </w:tcPr>
          <w:p w14:paraId="564FFFE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150" w:type="dxa"/>
            <w:gridSpan w:val="2"/>
            <w:vMerge w:val="restart"/>
            <w:shd w:val="clear" w:color="auto" w:fill="auto"/>
          </w:tcPr>
          <w:p w14:paraId="5618DEE3"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Outpatients of both sexes,</w:t>
            </w:r>
            <w:r w:rsidRPr="00174BA8">
              <w:rPr>
                <w:rFonts w:ascii="Times New Roman" w:hAnsi="Times New Roman"/>
                <w:sz w:val="13"/>
                <w:szCs w:val="13"/>
                <w:lang w:val="en-US" w:eastAsia="en-US"/>
              </w:rPr>
              <w:br/>
              <w:t>- 40 to 75 inclusive,</w:t>
            </w:r>
            <w:r w:rsidRPr="00174BA8">
              <w:rPr>
                <w:rFonts w:ascii="Times New Roman" w:hAnsi="Times New Roman"/>
                <w:sz w:val="13"/>
                <w:szCs w:val="13"/>
                <w:lang w:val="en-US" w:eastAsia="en-US"/>
              </w:rPr>
              <w:br/>
              <w:t>- Patients with a diagnosis of OA of the knee, who have required regular treatment with aspirin and/or other NSAID's for the control of the signs or symptoms of their disease, for at least three months prior to enrollment in the trial.</w:t>
            </w:r>
            <w:r w:rsidRPr="00174BA8">
              <w:rPr>
                <w:rFonts w:ascii="Times New Roman" w:hAnsi="Times New Roman"/>
                <w:sz w:val="13"/>
                <w:szCs w:val="13"/>
                <w:lang w:val="en-US" w:eastAsia="en-US"/>
              </w:rPr>
              <w:br/>
              <w:t>- Patients must belong to ARA functional Class II or III</w:t>
            </w:r>
            <w:r w:rsidRPr="00174BA8">
              <w:rPr>
                <w:rFonts w:ascii="Times New Roman" w:hAnsi="Times New Roman"/>
                <w:sz w:val="13"/>
                <w:szCs w:val="13"/>
                <w:lang w:val="en-US" w:eastAsia="en-US"/>
              </w:rPr>
              <w:br/>
              <w:t>- Patients on physiotherapy may be included, provided the program is not changed during the trial</w:t>
            </w:r>
            <w:r w:rsidRPr="00174BA8">
              <w:rPr>
                <w:rFonts w:ascii="Times New Roman" w:hAnsi="Times New Roman"/>
                <w:sz w:val="13"/>
                <w:szCs w:val="13"/>
                <w:lang w:val="en-US" w:eastAsia="en-US"/>
              </w:rPr>
              <w:br/>
              <w:t>- Patients must have evidence of active disease during the placebo washout period to qualify for entry into the double-blind phase of the study,</w:t>
            </w:r>
            <w:r w:rsidRPr="00174BA8">
              <w:rPr>
                <w:rFonts w:ascii="Times New Roman" w:hAnsi="Times New Roman"/>
                <w:sz w:val="13"/>
                <w:szCs w:val="13"/>
                <w:lang w:val="en-US" w:eastAsia="en-US"/>
              </w:rPr>
              <w:br/>
              <w:t>- Patients with the diagnosis of primary osteoarthritis or secondary osteoarthritis of the knee due to trauma or any condition leading to OA of the knee. The acute disease leading to secondary OA must have occurred at least five years prior to entry into the study.</w:t>
            </w:r>
          </w:p>
        </w:tc>
        <w:tc>
          <w:tcPr>
            <w:tcW w:w="4662" w:type="dxa"/>
            <w:vMerge w:val="restart"/>
            <w:shd w:val="clear" w:color="auto" w:fill="auto"/>
          </w:tcPr>
          <w:p w14:paraId="7B78A4E5"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5E5ACDB7"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5C92CE4E"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07016499"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5B7D0863"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66B7B0C1"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3004C072"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41579135" w14:textId="77777777" w:rsidR="008F79C3" w:rsidRPr="00174BA8" w:rsidRDefault="008F79C3" w:rsidP="007E0FCD">
            <w:pPr>
              <w:spacing w:after="0" w:line="240" w:lineRule="auto"/>
              <w:jc w:val="left"/>
              <w:rPr>
                <w:rFonts w:ascii="Times New Roman" w:hAnsi="Times New Roman"/>
                <w:sz w:val="13"/>
                <w:szCs w:val="13"/>
                <w:lang w:val="en-US" w:eastAsia="en-US"/>
              </w:rPr>
            </w:pPr>
          </w:p>
          <w:p w14:paraId="132B9D7C" w14:textId="5B7E567B" w:rsidR="00121976" w:rsidRPr="00174BA8" w:rsidRDefault="00F6216D"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S</w:t>
            </w:r>
            <w:r w:rsidR="00121976" w:rsidRPr="00174BA8">
              <w:rPr>
                <w:rFonts w:ascii="Times New Roman" w:hAnsi="Times New Roman"/>
                <w:sz w:val="13"/>
                <w:szCs w:val="13"/>
                <w:lang w:val="en-US" w:eastAsia="en-US"/>
              </w:rPr>
              <w:t>ame as 11</w:t>
            </w:r>
          </w:p>
        </w:tc>
      </w:tr>
      <w:tr w:rsidR="00174BA8" w:rsidRPr="00174BA8" w14:paraId="59BD7D59" w14:textId="77777777" w:rsidTr="008F79C3">
        <w:trPr>
          <w:trHeight w:val="420"/>
        </w:trPr>
        <w:tc>
          <w:tcPr>
            <w:tcW w:w="450" w:type="dxa"/>
            <w:vMerge/>
            <w:shd w:val="clear" w:color="auto" w:fill="auto"/>
            <w:noWrap/>
            <w:vAlign w:val="center"/>
          </w:tcPr>
          <w:p w14:paraId="7C49FF60"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auto"/>
            <w:noWrap/>
            <w:vAlign w:val="center"/>
          </w:tcPr>
          <w:p w14:paraId="3DD70541"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Aspirin</w:t>
            </w:r>
          </w:p>
        </w:tc>
        <w:tc>
          <w:tcPr>
            <w:tcW w:w="810" w:type="dxa"/>
            <w:shd w:val="clear" w:color="auto" w:fill="auto"/>
            <w:vAlign w:val="center"/>
          </w:tcPr>
          <w:p w14:paraId="7CF1605B" w14:textId="7189CFD5"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2400/3600 mg</w:t>
            </w:r>
          </w:p>
        </w:tc>
        <w:tc>
          <w:tcPr>
            <w:tcW w:w="990" w:type="dxa"/>
            <w:shd w:val="clear" w:color="auto" w:fill="auto"/>
            <w:vAlign w:val="center"/>
          </w:tcPr>
          <w:p w14:paraId="530A89C7"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xml:space="preserve">QID </w:t>
            </w:r>
          </w:p>
        </w:tc>
        <w:tc>
          <w:tcPr>
            <w:tcW w:w="810" w:type="dxa"/>
            <w:shd w:val="clear" w:color="auto" w:fill="auto"/>
            <w:vAlign w:val="center"/>
          </w:tcPr>
          <w:p w14:paraId="565487E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tablet</w:t>
            </w:r>
          </w:p>
        </w:tc>
        <w:tc>
          <w:tcPr>
            <w:tcW w:w="540" w:type="dxa"/>
            <w:shd w:val="clear" w:color="auto" w:fill="auto"/>
            <w:vAlign w:val="center"/>
          </w:tcPr>
          <w:p w14:paraId="03EECFB6"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7BA3395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3FDB3EE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590919A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4D291D0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150" w:type="dxa"/>
            <w:gridSpan w:val="2"/>
            <w:vMerge/>
            <w:shd w:val="clear" w:color="auto" w:fill="auto"/>
            <w:vAlign w:val="center"/>
          </w:tcPr>
          <w:p w14:paraId="3D4BE385"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662" w:type="dxa"/>
            <w:vMerge/>
            <w:shd w:val="clear" w:color="auto" w:fill="auto"/>
            <w:vAlign w:val="center"/>
          </w:tcPr>
          <w:p w14:paraId="23644BD2"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6ECC4B2F" w14:textId="77777777" w:rsidTr="008F79C3">
        <w:trPr>
          <w:trHeight w:val="693"/>
        </w:trPr>
        <w:tc>
          <w:tcPr>
            <w:tcW w:w="450" w:type="dxa"/>
            <w:vMerge w:val="restart"/>
            <w:shd w:val="clear" w:color="auto" w:fill="DBE5F1" w:themeFill="accent1" w:themeFillTint="33"/>
            <w:noWrap/>
            <w:vAlign w:val="center"/>
          </w:tcPr>
          <w:p w14:paraId="557E92C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6</w:t>
            </w:r>
          </w:p>
        </w:tc>
        <w:tc>
          <w:tcPr>
            <w:tcW w:w="900" w:type="dxa"/>
            <w:shd w:val="clear" w:color="auto" w:fill="DBE5F1" w:themeFill="accent1" w:themeFillTint="33"/>
            <w:noWrap/>
            <w:vAlign w:val="center"/>
          </w:tcPr>
          <w:p w14:paraId="73D2A9A5"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DBE5F1" w:themeFill="accent1" w:themeFillTint="33"/>
            <w:vAlign w:val="center"/>
          </w:tcPr>
          <w:p w14:paraId="73C323B6" w14:textId="4EF71238"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DBE5F1" w:themeFill="accent1" w:themeFillTint="33"/>
            <w:vAlign w:val="center"/>
          </w:tcPr>
          <w:p w14:paraId="203DF83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DBE5F1" w:themeFill="accent1" w:themeFillTint="33"/>
            <w:vAlign w:val="center"/>
          </w:tcPr>
          <w:p w14:paraId="04688D5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dispersible</w:t>
            </w:r>
          </w:p>
        </w:tc>
        <w:tc>
          <w:tcPr>
            <w:tcW w:w="540" w:type="dxa"/>
            <w:shd w:val="clear" w:color="auto" w:fill="DBE5F1" w:themeFill="accent1" w:themeFillTint="33"/>
            <w:vAlign w:val="center"/>
          </w:tcPr>
          <w:p w14:paraId="3A02BB90"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DBE5F1" w:themeFill="accent1" w:themeFillTint="33"/>
            <w:vAlign w:val="center"/>
          </w:tcPr>
          <w:p w14:paraId="15E25A4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9</w:t>
            </w:r>
          </w:p>
        </w:tc>
        <w:tc>
          <w:tcPr>
            <w:tcW w:w="630" w:type="dxa"/>
            <w:shd w:val="clear" w:color="auto" w:fill="DBE5F1" w:themeFill="accent1" w:themeFillTint="33"/>
            <w:vAlign w:val="center"/>
          </w:tcPr>
          <w:p w14:paraId="27AF37C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Germany</w:t>
            </w:r>
          </w:p>
        </w:tc>
        <w:tc>
          <w:tcPr>
            <w:tcW w:w="630" w:type="dxa"/>
            <w:shd w:val="clear" w:color="auto" w:fill="DBE5F1" w:themeFill="accent1" w:themeFillTint="33"/>
            <w:vAlign w:val="center"/>
          </w:tcPr>
          <w:p w14:paraId="07FAC3A7"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1990</w:t>
            </w:r>
          </w:p>
        </w:tc>
        <w:tc>
          <w:tcPr>
            <w:tcW w:w="630" w:type="dxa"/>
            <w:shd w:val="clear" w:color="auto" w:fill="DBE5F1" w:themeFill="accent1" w:themeFillTint="33"/>
            <w:vAlign w:val="center"/>
          </w:tcPr>
          <w:p w14:paraId="3A309DA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060" w:type="dxa"/>
            <w:vMerge w:val="restart"/>
            <w:shd w:val="clear" w:color="auto" w:fill="DBE5F1" w:themeFill="accent1" w:themeFillTint="33"/>
            <w:vAlign w:val="center"/>
          </w:tcPr>
          <w:p w14:paraId="761D1483" w14:textId="724E6BDA"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-Cooperative, adult, male or female outpatients up to the age of 70 years</w:t>
            </w:r>
            <w:r w:rsidRPr="00174BA8">
              <w:rPr>
                <w:rFonts w:ascii="Times New Roman" w:hAnsi="Times New Roman"/>
                <w:sz w:val="13"/>
                <w:szCs w:val="13"/>
                <w:lang w:val="en-US" w:eastAsia="en-US"/>
              </w:rPr>
              <w:br/>
              <w:t>- complained of pain in the knee and/or hip for a duration exceeding 3 months</w:t>
            </w:r>
            <w:r w:rsidRPr="00174BA8">
              <w:rPr>
                <w:rFonts w:ascii="Times New Roman" w:hAnsi="Times New Roman"/>
                <w:sz w:val="13"/>
                <w:szCs w:val="13"/>
                <w:lang w:val="en-US" w:eastAsia="en-US"/>
              </w:rPr>
              <w:br/>
              <w:t>- had radiographic evidence of osteoarthritis on X-Rays taken immediately prior to the commencement of the study or on an earlier occasion but within the past one year</w:t>
            </w:r>
            <w:r w:rsidRPr="00174BA8">
              <w:rPr>
                <w:rFonts w:ascii="Times New Roman" w:hAnsi="Times New Roman"/>
                <w:sz w:val="13"/>
                <w:szCs w:val="13"/>
                <w:lang w:val="en-US" w:eastAsia="en-US"/>
              </w:rPr>
              <w:br/>
              <w:t>- had moderate to severe intensity of pain at rest and/or during activity (≥ 50 mm on a 100 mm visual analogue scale) as assessed by the patient</w:t>
            </w:r>
            <w:r w:rsidRPr="00174BA8">
              <w:rPr>
                <w:rFonts w:ascii="Times New Roman" w:hAnsi="Times New Roman"/>
                <w:sz w:val="13"/>
                <w:szCs w:val="13"/>
                <w:lang w:val="en-US" w:eastAsia="en-US"/>
              </w:rPr>
              <w:br/>
              <w:t>- required prolonged treatment with NSAIDs in the judgement of the investigator</w:t>
            </w:r>
          </w:p>
        </w:tc>
        <w:tc>
          <w:tcPr>
            <w:tcW w:w="4752" w:type="dxa"/>
            <w:gridSpan w:val="2"/>
            <w:vMerge w:val="restart"/>
            <w:shd w:val="clear" w:color="auto" w:fill="DBE5F1" w:themeFill="accent1" w:themeFillTint="33"/>
            <w:vAlign w:val="center"/>
          </w:tcPr>
          <w:p w14:paraId="54A8E7AA" w14:textId="427BFE8D"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-physiological states, previous and/or concomitant illnesses;</w:t>
            </w:r>
            <w:r w:rsidRPr="00174BA8">
              <w:rPr>
                <w:rFonts w:ascii="Times New Roman" w:hAnsi="Times New Roman"/>
                <w:sz w:val="13"/>
                <w:szCs w:val="13"/>
                <w:lang w:val="en-US" w:eastAsia="en-US"/>
              </w:rPr>
              <w:br/>
              <w:t>- Arthritis of any origin other than osteoarthrosis</w:t>
            </w:r>
            <w:r w:rsidRPr="00174BA8">
              <w:rPr>
                <w:rFonts w:ascii="Times New Roman" w:hAnsi="Times New Roman"/>
                <w:sz w:val="13"/>
                <w:szCs w:val="13"/>
                <w:lang w:val="en-US" w:eastAsia="en-US"/>
              </w:rPr>
              <w:br/>
              <w:t>- Known hypersensitivity to the active substance or history of precipitation of asthma, rhinitis, urticaria or anaphylactic reaction following intake of aspirin or other cyclo-oxygenase inhibitors</w:t>
            </w:r>
            <w:r w:rsidRPr="00174BA8">
              <w:rPr>
                <w:rFonts w:ascii="Times New Roman" w:hAnsi="Times New Roman"/>
                <w:sz w:val="13"/>
                <w:szCs w:val="13"/>
                <w:lang w:val="en-US" w:eastAsia="en-US"/>
              </w:rPr>
              <w:br/>
              <w:t>- Presence or suspicion of gastro-duodenal ulcer of history of gastro-intestinal bleeding at any time or other gastro-intestinal diseases such as ulcerative colitis, malabsorption syndrome, oesophageal varices, etc.</w:t>
            </w:r>
            <w:r w:rsidRPr="00174BA8">
              <w:rPr>
                <w:rFonts w:ascii="Times New Roman" w:hAnsi="Times New Roman"/>
                <w:sz w:val="13"/>
                <w:szCs w:val="13"/>
                <w:lang w:val="en-US" w:eastAsia="en-US"/>
              </w:rPr>
              <w:br/>
              <w:t>- Presence of severe cardiac, hepatic or renal insufficiency</w:t>
            </w:r>
            <w:r w:rsidRPr="00174BA8">
              <w:rPr>
                <w:rFonts w:ascii="Times New Roman" w:hAnsi="Times New Roman"/>
                <w:sz w:val="13"/>
                <w:szCs w:val="13"/>
                <w:lang w:val="en-US" w:eastAsia="en-US"/>
              </w:rPr>
              <w:br/>
              <w:t>- Severe hypertension</w:t>
            </w:r>
            <w:r w:rsidRPr="00174BA8">
              <w:rPr>
                <w:rFonts w:ascii="Times New Roman" w:hAnsi="Times New Roman"/>
                <w:sz w:val="13"/>
                <w:szCs w:val="13"/>
                <w:lang w:val="en-US" w:eastAsia="en-US"/>
              </w:rPr>
              <w:br/>
              <w:t>- Haemopoietic or bleeding disorders</w:t>
            </w:r>
            <w:r w:rsidRPr="00174BA8">
              <w:rPr>
                <w:rFonts w:ascii="Times New Roman" w:hAnsi="Times New Roman"/>
                <w:sz w:val="13"/>
                <w:szCs w:val="13"/>
                <w:lang w:val="en-US" w:eastAsia="en-US"/>
              </w:rPr>
              <w:br/>
              <w:t>- previous and/or concomitant treatment with corticosteroid therapy (systemic or intra-articular) within two months of entrance into the study, administration of other analgesic/anti-inflammatory drugs including corticosteroids (oral or intra-articular) during the trial, intake of NSAIDs during the last 3/7 days prior to entry into the study (paracetamol permitted up to 4 g/day during this period), non-drug therapy viz. physiotherapy, massage, etc. to be avoided during the trial; however, if such treatment was warranted, it was to remain constant for the two weeks before and throughout the trial</w:t>
            </w:r>
          </w:p>
        </w:tc>
      </w:tr>
      <w:tr w:rsidR="00174BA8" w:rsidRPr="00174BA8" w14:paraId="6EC5EADA" w14:textId="77777777" w:rsidTr="008F79C3">
        <w:trPr>
          <w:trHeight w:val="693"/>
        </w:trPr>
        <w:tc>
          <w:tcPr>
            <w:tcW w:w="450" w:type="dxa"/>
            <w:vMerge/>
            <w:shd w:val="clear" w:color="auto" w:fill="DBE5F1" w:themeFill="accent1" w:themeFillTint="33"/>
            <w:noWrap/>
            <w:vAlign w:val="center"/>
          </w:tcPr>
          <w:p w14:paraId="2E6D2F87"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DBE5F1" w:themeFill="accent1" w:themeFillTint="33"/>
            <w:noWrap/>
            <w:vAlign w:val="center"/>
          </w:tcPr>
          <w:p w14:paraId="2DC525C9"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DBE5F1" w:themeFill="accent1" w:themeFillTint="33"/>
            <w:vAlign w:val="center"/>
          </w:tcPr>
          <w:p w14:paraId="7F475E64" w14:textId="7782C149"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DBE5F1" w:themeFill="accent1" w:themeFillTint="33"/>
            <w:vAlign w:val="center"/>
          </w:tcPr>
          <w:p w14:paraId="6FFD226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DBE5F1" w:themeFill="accent1" w:themeFillTint="33"/>
            <w:vAlign w:val="center"/>
          </w:tcPr>
          <w:p w14:paraId="5D1CCD6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DBE5F1" w:themeFill="accent1" w:themeFillTint="33"/>
            <w:vAlign w:val="center"/>
          </w:tcPr>
          <w:p w14:paraId="35011DD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06E1D19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2033431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69A16EA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711F817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DBE5F1" w:themeFill="accent1" w:themeFillTint="33"/>
            <w:vAlign w:val="center"/>
          </w:tcPr>
          <w:p w14:paraId="60B7A3C6"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DBE5F1" w:themeFill="accent1" w:themeFillTint="33"/>
            <w:vAlign w:val="center"/>
          </w:tcPr>
          <w:p w14:paraId="0012DD71"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506D1D3E" w14:textId="77777777" w:rsidTr="008F79C3">
        <w:trPr>
          <w:trHeight w:val="420"/>
        </w:trPr>
        <w:tc>
          <w:tcPr>
            <w:tcW w:w="450" w:type="dxa"/>
            <w:vMerge w:val="restart"/>
            <w:shd w:val="clear" w:color="auto" w:fill="auto"/>
            <w:noWrap/>
            <w:vAlign w:val="center"/>
          </w:tcPr>
          <w:p w14:paraId="39CF8CE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7</w:t>
            </w:r>
          </w:p>
        </w:tc>
        <w:tc>
          <w:tcPr>
            <w:tcW w:w="900" w:type="dxa"/>
            <w:shd w:val="clear" w:color="auto" w:fill="auto"/>
            <w:noWrap/>
            <w:vAlign w:val="center"/>
          </w:tcPr>
          <w:p w14:paraId="6A5C7990"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auto"/>
            <w:vAlign w:val="center"/>
          </w:tcPr>
          <w:p w14:paraId="78B083BE" w14:textId="6E3E10A4"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auto"/>
            <w:vAlign w:val="center"/>
          </w:tcPr>
          <w:p w14:paraId="26BB089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auto"/>
            <w:vAlign w:val="center"/>
          </w:tcPr>
          <w:p w14:paraId="7045200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dispersible</w:t>
            </w:r>
          </w:p>
        </w:tc>
        <w:tc>
          <w:tcPr>
            <w:tcW w:w="540" w:type="dxa"/>
            <w:shd w:val="clear" w:color="auto" w:fill="auto"/>
            <w:vAlign w:val="center"/>
          </w:tcPr>
          <w:p w14:paraId="26E9CB70"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auto"/>
            <w:vAlign w:val="center"/>
          </w:tcPr>
          <w:p w14:paraId="722E51F0"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16</w:t>
            </w:r>
          </w:p>
        </w:tc>
        <w:tc>
          <w:tcPr>
            <w:tcW w:w="630" w:type="dxa"/>
            <w:shd w:val="clear" w:color="auto" w:fill="auto"/>
            <w:vAlign w:val="center"/>
          </w:tcPr>
          <w:p w14:paraId="760A649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France</w:t>
            </w:r>
          </w:p>
        </w:tc>
        <w:tc>
          <w:tcPr>
            <w:tcW w:w="630" w:type="dxa"/>
            <w:shd w:val="clear" w:color="auto" w:fill="auto"/>
            <w:vAlign w:val="center"/>
          </w:tcPr>
          <w:p w14:paraId="07C2C1C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1989</w:t>
            </w:r>
          </w:p>
        </w:tc>
        <w:tc>
          <w:tcPr>
            <w:tcW w:w="630" w:type="dxa"/>
            <w:shd w:val="clear" w:color="auto" w:fill="auto"/>
            <w:vAlign w:val="center"/>
          </w:tcPr>
          <w:p w14:paraId="559030E0"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060" w:type="dxa"/>
            <w:vMerge w:val="restart"/>
            <w:shd w:val="clear" w:color="auto" w:fill="auto"/>
            <w:vAlign w:val="center"/>
          </w:tcPr>
          <w:p w14:paraId="17AFF5D1"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same as DIDS3 </w:t>
            </w:r>
          </w:p>
        </w:tc>
        <w:tc>
          <w:tcPr>
            <w:tcW w:w="4752" w:type="dxa"/>
            <w:gridSpan w:val="2"/>
            <w:vMerge w:val="restart"/>
            <w:shd w:val="clear" w:color="auto" w:fill="auto"/>
            <w:vAlign w:val="center"/>
          </w:tcPr>
          <w:p w14:paraId="547610BE"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same as DIDS3</w:t>
            </w:r>
          </w:p>
        </w:tc>
      </w:tr>
      <w:tr w:rsidR="00174BA8" w:rsidRPr="00174BA8" w14:paraId="34B07FE1" w14:textId="77777777" w:rsidTr="008F79C3">
        <w:trPr>
          <w:trHeight w:val="420"/>
        </w:trPr>
        <w:tc>
          <w:tcPr>
            <w:tcW w:w="450" w:type="dxa"/>
            <w:vMerge/>
            <w:shd w:val="clear" w:color="auto" w:fill="auto"/>
            <w:noWrap/>
            <w:vAlign w:val="center"/>
          </w:tcPr>
          <w:p w14:paraId="0507B3A9"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auto"/>
            <w:noWrap/>
            <w:vAlign w:val="center"/>
          </w:tcPr>
          <w:p w14:paraId="13840F99"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xml:space="preserve">Diclofenac sodium </w:t>
            </w:r>
          </w:p>
        </w:tc>
        <w:tc>
          <w:tcPr>
            <w:tcW w:w="810" w:type="dxa"/>
            <w:shd w:val="clear" w:color="auto" w:fill="auto"/>
            <w:vAlign w:val="center"/>
          </w:tcPr>
          <w:p w14:paraId="4C5712B5" w14:textId="5E115EFC"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auto"/>
            <w:vAlign w:val="center"/>
          </w:tcPr>
          <w:p w14:paraId="4375977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auto"/>
            <w:vAlign w:val="center"/>
          </w:tcPr>
          <w:p w14:paraId="113FED9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auto"/>
            <w:vAlign w:val="center"/>
          </w:tcPr>
          <w:p w14:paraId="5C8BB43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768E934D"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56B5D69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18F5AAE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23AB4B0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auto"/>
            <w:vAlign w:val="center"/>
          </w:tcPr>
          <w:p w14:paraId="7D69E17E"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auto"/>
            <w:vAlign w:val="center"/>
          </w:tcPr>
          <w:p w14:paraId="61FCA771"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6402B885" w14:textId="77777777" w:rsidTr="008F79C3">
        <w:trPr>
          <w:trHeight w:val="1284"/>
        </w:trPr>
        <w:tc>
          <w:tcPr>
            <w:tcW w:w="450" w:type="dxa"/>
            <w:vMerge w:val="restart"/>
            <w:shd w:val="clear" w:color="auto" w:fill="DBE5F1" w:themeFill="accent1" w:themeFillTint="33"/>
            <w:noWrap/>
            <w:vAlign w:val="center"/>
          </w:tcPr>
          <w:p w14:paraId="7226AEC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w:t>
            </w:r>
          </w:p>
        </w:tc>
        <w:tc>
          <w:tcPr>
            <w:tcW w:w="900" w:type="dxa"/>
            <w:shd w:val="clear" w:color="auto" w:fill="DBE5F1" w:themeFill="accent1" w:themeFillTint="33"/>
            <w:noWrap/>
            <w:vAlign w:val="center"/>
          </w:tcPr>
          <w:p w14:paraId="510D0D65"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resinate</w:t>
            </w:r>
          </w:p>
        </w:tc>
        <w:tc>
          <w:tcPr>
            <w:tcW w:w="810" w:type="dxa"/>
            <w:shd w:val="clear" w:color="auto" w:fill="DBE5F1" w:themeFill="accent1" w:themeFillTint="33"/>
            <w:vAlign w:val="center"/>
          </w:tcPr>
          <w:p w14:paraId="7CC7BF91" w14:textId="5B75C9AE"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DBE5F1" w:themeFill="accent1" w:themeFillTint="33"/>
            <w:vAlign w:val="center"/>
          </w:tcPr>
          <w:p w14:paraId="160D22C0"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auto" w:fill="DBE5F1" w:themeFill="accent1" w:themeFillTint="33"/>
            <w:vAlign w:val="center"/>
          </w:tcPr>
          <w:p w14:paraId="10FAEA02"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capsule</w:t>
            </w:r>
          </w:p>
        </w:tc>
        <w:tc>
          <w:tcPr>
            <w:tcW w:w="540" w:type="dxa"/>
            <w:shd w:val="clear" w:color="auto" w:fill="DBE5F1" w:themeFill="accent1" w:themeFillTint="33"/>
            <w:vAlign w:val="center"/>
          </w:tcPr>
          <w:p w14:paraId="04F0026E"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DBE5F1" w:themeFill="accent1" w:themeFillTint="33"/>
            <w:vAlign w:val="center"/>
          </w:tcPr>
          <w:p w14:paraId="0699F62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9</w:t>
            </w:r>
          </w:p>
        </w:tc>
        <w:tc>
          <w:tcPr>
            <w:tcW w:w="630" w:type="dxa"/>
            <w:shd w:val="clear" w:color="auto" w:fill="DBE5F1" w:themeFill="accent1" w:themeFillTint="33"/>
            <w:vAlign w:val="center"/>
          </w:tcPr>
          <w:p w14:paraId="5B85E95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NR</w:t>
            </w:r>
          </w:p>
        </w:tc>
        <w:tc>
          <w:tcPr>
            <w:tcW w:w="630" w:type="dxa"/>
            <w:shd w:val="clear" w:color="auto" w:fill="DBE5F1" w:themeFill="accent1" w:themeFillTint="33"/>
            <w:vAlign w:val="center"/>
          </w:tcPr>
          <w:p w14:paraId="3B56D73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1986</w:t>
            </w:r>
          </w:p>
        </w:tc>
        <w:tc>
          <w:tcPr>
            <w:tcW w:w="630" w:type="dxa"/>
            <w:shd w:val="clear" w:color="auto" w:fill="DBE5F1" w:themeFill="accent1" w:themeFillTint="33"/>
            <w:vAlign w:val="center"/>
          </w:tcPr>
          <w:p w14:paraId="0D8B8D4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28</w:t>
            </w:r>
          </w:p>
        </w:tc>
        <w:tc>
          <w:tcPr>
            <w:tcW w:w="3060" w:type="dxa"/>
            <w:vMerge w:val="restart"/>
            <w:shd w:val="clear" w:color="auto" w:fill="DBE5F1" w:themeFill="accent1" w:themeFillTint="33"/>
          </w:tcPr>
          <w:p w14:paraId="3DB6F7DD"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 Cooperative adult male and female out-patients, with roentgenologically confirmed and extremely painful osteoarthritis of the knee and/or hip and requiring treatment with a non-steroidal anti-inflammatory agent, were admitted to the study. </w:t>
            </w:r>
            <w:r w:rsidRPr="00174BA8">
              <w:rPr>
                <w:rFonts w:ascii="Times New Roman" w:hAnsi="Times New Roman"/>
                <w:sz w:val="13"/>
                <w:szCs w:val="13"/>
                <w:lang w:val="en-US" w:eastAsia="en-US"/>
              </w:rPr>
              <w:br/>
              <w:t>- Before start of treatment the pain on passive movement at the extremes of the range of movement of the clinically worst affected joint had to be very severe.</w:t>
            </w:r>
          </w:p>
          <w:p w14:paraId="2F4FBFCA" w14:textId="29E14243" w:rsidR="00121976" w:rsidRPr="00174BA8" w:rsidRDefault="00121976" w:rsidP="00580310">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xml:space="preserve"> - Additional analgesic or antirheumatic medication was not allowed during the trial. </w:t>
            </w:r>
            <w:r w:rsidRPr="00174BA8">
              <w:rPr>
                <w:rFonts w:ascii="Times New Roman" w:hAnsi="Times New Roman"/>
                <w:sz w:val="13"/>
                <w:szCs w:val="13"/>
                <w:lang w:val="en-US" w:eastAsia="en-US"/>
              </w:rPr>
              <w:br/>
            </w:r>
            <w:r w:rsidRPr="00174BA8">
              <w:rPr>
                <w:rFonts w:ascii="Times New Roman" w:hAnsi="Times New Roman"/>
                <w:sz w:val="13"/>
                <w:szCs w:val="13"/>
                <w:lang w:val="en-US" w:eastAsia="en-US"/>
              </w:rPr>
              <w:lastRenderedPageBreak/>
              <w:t xml:space="preserve">-  If the patient was undergoing physiotherapy, treatment should have been given for a period of at least 1 month before the start of the trial and had to be maintained throughout the trial period. </w:t>
            </w:r>
            <w:r w:rsidRPr="00174BA8">
              <w:rPr>
                <w:rFonts w:ascii="Times New Roman" w:hAnsi="Times New Roman"/>
                <w:sz w:val="13"/>
                <w:szCs w:val="13"/>
                <w:lang w:val="en-US" w:eastAsia="en-US"/>
              </w:rPr>
              <w:br/>
              <w:t>- Anti-arthritic second-line therapy was allowed if it had been administered continuously for at least 3 months before the start of the trial and was maintained throughout the trial.</w:t>
            </w:r>
          </w:p>
        </w:tc>
        <w:tc>
          <w:tcPr>
            <w:tcW w:w="4752" w:type="dxa"/>
            <w:gridSpan w:val="2"/>
            <w:vMerge w:val="restart"/>
            <w:shd w:val="clear" w:color="auto" w:fill="DBE5F1" w:themeFill="accent1" w:themeFillTint="33"/>
          </w:tcPr>
          <w:p w14:paraId="217D6E71"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lastRenderedPageBreak/>
              <w:t>- Patients with gastroduodenal ulcers (in medical history, manifest or suspected) or other gastro-intestinal diseases (ulcerative colitis,</w:t>
            </w:r>
            <w:r w:rsidRPr="00174BA8">
              <w:rPr>
                <w:rFonts w:ascii="Times New Roman" w:hAnsi="Times New Roman"/>
                <w:sz w:val="13"/>
                <w:szCs w:val="13"/>
                <w:lang w:val="en-US" w:eastAsia="en-US"/>
              </w:rPr>
              <w:br/>
              <w:t xml:space="preserve">malabsorption syndrome, oesophagal varices), impaired renal function, severe hepatic or cardiovascular disease, manifest diabetes mellitus, haemorrhagic diathesis, mental disturbance including drug or alcohol dependency, known hypersensitivity to diclofenac </w:t>
            </w:r>
            <w:r w:rsidRPr="00174BA8">
              <w:rPr>
                <w:rFonts w:ascii="Times New Roman" w:hAnsi="Times New Roman"/>
                <w:sz w:val="13"/>
                <w:szCs w:val="13"/>
                <w:lang w:val="en-US" w:eastAsia="en-US"/>
              </w:rPr>
              <w:br/>
              <w:t>- Patients in whom acetylsalicylic acid or other prostaglandin synthesis inhibitors had led to asthma, acute rhinitis or an anaphylactic reaction (such as urticaria)</w:t>
            </w:r>
            <w:r w:rsidRPr="00174BA8">
              <w:rPr>
                <w:rFonts w:ascii="Times New Roman" w:hAnsi="Times New Roman"/>
                <w:sz w:val="13"/>
                <w:szCs w:val="13"/>
                <w:lang w:val="en-US" w:eastAsia="en-US"/>
              </w:rPr>
              <w:br/>
              <w:t xml:space="preserve">- Patients who had received intra-articular injections of corticosteroids within 6 weeks of the start of the study </w:t>
            </w:r>
            <w:r w:rsidRPr="00174BA8">
              <w:rPr>
                <w:rFonts w:ascii="Times New Roman" w:hAnsi="Times New Roman"/>
                <w:sz w:val="13"/>
                <w:szCs w:val="13"/>
                <w:lang w:val="en-US" w:eastAsia="en-US"/>
              </w:rPr>
              <w:br/>
              <w:t xml:space="preserve">- Patients with abnormalities in the haematological screen including porphyria as well </w:t>
            </w:r>
            <w:r w:rsidRPr="00174BA8">
              <w:rPr>
                <w:rFonts w:ascii="Times New Roman" w:hAnsi="Times New Roman"/>
                <w:sz w:val="13"/>
                <w:szCs w:val="13"/>
                <w:lang w:val="en-US" w:eastAsia="en-US"/>
              </w:rPr>
              <w:lastRenderedPageBreak/>
              <w:t xml:space="preserve">as pregnant and nursing patients </w:t>
            </w:r>
          </w:p>
        </w:tc>
      </w:tr>
      <w:tr w:rsidR="00174BA8" w:rsidRPr="00174BA8" w14:paraId="725E7421" w14:textId="77777777" w:rsidTr="008F79C3">
        <w:trPr>
          <w:trHeight w:val="420"/>
        </w:trPr>
        <w:tc>
          <w:tcPr>
            <w:tcW w:w="450" w:type="dxa"/>
            <w:vMerge/>
            <w:shd w:val="clear" w:color="auto" w:fill="DBE5F1" w:themeFill="accent1" w:themeFillTint="33"/>
            <w:noWrap/>
            <w:vAlign w:val="center"/>
          </w:tcPr>
          <w:p w14:paraId="576DAD7E"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DBE5F1" w:themeFill="accent1" w:themeFillTint="33"/>
            <w:noWrap/>
            <w:vAlign w:val="center"/>
          </w:tcPr>
          <w:p w14:paraId="25A5992F"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DBE5F1" w:themeFill="accent1" w:themeFillTint="33"/>
            <w:vAlign w:val="center"/>
          </w:tcPr>
          <w:p w14:paraId="5CF274D1" w14:textId="50C6F3C6"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150 mg</w:t>
            </w:r>
          </w:p>
        </w:tc>
        <w:tc>
          <w:tcPr>
            <w:tcW w:w="990" w:type="dxa"/>
            <w:shd w:val="clear" w:color="auto" w:fill="DBE5F1" w:themeFill="accent1" w:themeFillTint="33"/>
            <w:vAlign w:val="center"/>
          </w:tcPr>
          <w:p w14:paraId="5C78607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TID</w:t>
            </w:r>
          </w:p>
        </w:tc>
        <w:tc>
          <w:tcPr>
            <w:tcW w:w="810" w:type="dxa"/>
            <w:shd w:val="clear" w:color="auto" w:fill="DBE5F1" w:themeFill="accent1" w:themeFillTint="33"/>
            <w:vAlign w:val="center"/>
          </w:tcPr>
          <w:p w14:paraId="1119E70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coated tablet</w:t>
            </w:r>
          </w:p>
        </w:tc>
        <w:tc>
          <w:tcPr>
            <w:tcW w:w="540" w:type="dxa"/>
            <w:shd w:val="clear" w:color="auto" w:fill="DBE5F1" w:themeFill="accent1" w:themeFillTint="33"/>
            <w:vAlign w:val="center"/>
          </w:tcPr>
          <w:p w14:paraId="29C11F62"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70DDC7A4"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0740E501"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5F9E05BE"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DBE5F1" w:themeFill="accent1" w:themeFillTint="33"/>
            <w:vAlign w:val="center"/>
          </w:tcPr>
          <w:p w14:paraId="4C4F3492"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DBE5F1" w:themeFill="accent1" w:themeFillTint="33"/>
            <w:vAlign w:val="center"/>
          </w:tcPr>
          <w:p w14:paraId="15A0AA1F"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DBE5F1" w:themeFill="accent1" w:themeFillTint="33"/>
            <w:vAlign w:val="center"/>
          </w:tcPr>
          <w:p w14:paraId="4FAB1C03"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347A3733" w14:textId="77777777" w:rsidTr="008F79C3">
        <w:trPr>
          <w:trHeight w:val="80"/>
        </w:trPr>
        <w:tc>
          <w:tcPr>
            <w:tcW w:w="450" w:type="dxa"/>
            <w:vMerge w:val="restart"/>
            <w:shd w:val="clear" w:color="auto" w:fill="auto"/>
            <w:noWrap/>
            <w:vAlign w:val="center"/>
          </w:tcPr>
          <w:p w14:paraId="2C9A1C69"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9</w:t>
            </w:r>
          </w:p>
        </w:tc>
        <w:tc>
          <w:tcPr>
            <w:tcW w:w="900" w:type="dxa"/>
            <w:shd w:val="clear" w:color="auto" w:fill="auto"/>
            <w:noWrap/>
            <w:vAlign w:val="center"/>
          </w:tcPr>
          <w:p w14:paraId="2F40BCE4"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auto"/>
            <w:vAlign w:val="center"/>
          </w:tcPr>
          <w:p w14:paraId="619B3B03" w14:textId="7B82CB6B"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 mg</w:t>
            </w:r>
          </w:p>
        </w:tc>
        <w:tc>
          <w:tcPr>
            <w:tcW w:w="990" w:type="dxa"/>
            <w:shd w:val="clear" w:color="auto" w:fill="auto"/>
            <w:vAlign w:val="center"/>
          </w:tcPr>
          <w:p w14:paraId="1B33C72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OD</w:t>
            </w:r>
          </w:p>
        </w:tc>
        <w:tc>
          <w:tcPr>
            <w:tcW w:w="810" w:type="dxa"/>
            <w:shd w:val="clear" w:color="auto" w:fill="auto"/>
            <w:vAlign w:val="center"/>
          </w:tcPr>
          <w:p w14:paraId="2C6C97B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retard</w:t>
            </w:r>
          </w:p>
        </w:tc>
        <w:tc>
          <w:tcPr>
            <w:tcW w:w="540" w:type="dxa"/>
            <w:shd w:val="clear" w:color="auto" w:fill="auto"/>
            <w:vAlign w:val="center"/>
          </w:tcPr>
          <w:p w14:paraId="5D05DC57"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auto"/>
            <w:vAlign w:val="center"/>
          </w:tcPr>
          <w:p w14:paraId="44E2D5A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w:t>
            </w:r>
          </w:p>
        </w:tc>
        <w:tc>
          <w:tcPr>
            <w:tcW w:w="630" w:type="dxa"/>
            <w:shd w:val="clear" w:color="auto" w:fill="auto"/>
            <w:vAlign w:val="center"/>
          </w:tcPr>
          <w:p w14:paraId="4D2BAF5A"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Finland</w:t>
            </w:r>
          </w:p>
        </w:tc>
        <w:tc>
          <w:tcPr>
            <w:tcW w:w="630" w:type="dxa"/>
            <w:shd w:val="clear" w:color="auto" w:fill="auto"/>
            <w:vAlign w:val="center"/>
          </w:tcPr>
          <w:p w14:paraId="1FF2EC4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1985</w:t>
            </w:r>
          </w:p>
        </w:tc>
        <w:tc>
          <w:tcPr>
            <w:tcW w:w="630" w:type="dxa"/>
            <w:shd w:val="clear" w:color="auto" w:fill="auto"/>
            <w:vAlign w:val="center"/>
          </w:tcPr>
          <w:p w14:paraId="456059A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90</w:t>
            </w:r>
          </w:p>
        </w:tc>
        <w:tc>
          <w:tcPr>
            <w:tcW w:w="3060" w:type="dxa"/>
            <w:vMerge w:val="restart"/>
            <w:shd w:val="clear" w:color="auto" w:fill="auto"/>
            <w:vAlign w:val="center"/>
          </w:tcPr>
          <w:p w14:paraId="1C5C5C66" w14:textId="77777777"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Patients to whom long-term anti-inflammatory analgesic use is indicated.</w:t>
            </w:r>
          </w:p>
        </w:tc>
        <w:tc>
          <w:tcPr>
            <w:tcW w:w="4752" w:type="dxa"/>
            <w:gridSpan w:val="2"/>
            <w:vMerge w:val="restart"/>
            <w:shd w:val="clear" w:color="auto" w:fill="auto"/>
          </w:tcPr>
          <w:p w14:paraId="1E516AC8" w14:textId="1A05C98B" w:rsidR="00121976" w:rsidRPr="00174BA8" w:rsidRDefault="00121976" w:rsidP="008F79C3">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Patients to whom any of the following statements apply:</w:t>
            </w:r>
            <w:r w:rsidRPr="00174BA8">
              <w:rPr>
                <w:rFonts w:ascii="Times New Roman" w:hAnsi="Times New Roman"/>
                <w:sz w:val="13"/>
                <w:szCs w:val="13"/>
                <w:lang w:val="en-US" w:eastAsia="en-US"/>
              </w:rPr>
              <w:br/>
              <w:t>- hypersensitivity to anti-inflamm</w:t>
            </w:r>
            <w:r w:rsidR="008F79C3" w:rsidRPr="00174BA8">
              <w:rPr>
                <w:rFonts w:ascii="Times New Roman" w:hAnsi="Times New Roman"/>
                <w:sz w:val="13"/>
                <w:szCs w:val="13"/>
                <w:lang w:val="en-US" w:eastAsia="en-US"/>
              </w:rPr>
              <w:t>atory analgesics</w:t>
            </w:r>
            <w:r w:rsidR="008F79C3" w:rsidRPr="00174BA8">
              <w:rPr>
                <w:rFonts w:ascii="Times New Roman" w:hAnsi="Times New Roman"/>
                <w:sz w:val="13"/>
                <w:szCs w:val="13"/>
                <w:lang w:val="en-US" w:eastAsia="en-US"/>
              </w:rPr>
              <w:br/>
              <w:t>- asthma</w:t>
            </w:r>
            <w:r w:rsidR="008F79C3" w:rsidRPr="00174BA8">
              <w:rPr>
                <w:rFonts w:ascii="Times New Roman" w:hAnsi="Times New Roman"/>
                <w:sz w:val="13"/>
                <w:szCs w:val="13"/>
                <w:lang w:val="en-US" w:eastAsia="en-US"/>
              </w:rPr>
              <w:br/>
              <w:t>- ulcer</w:t>
            </w:r>
            <w:r w:rsidRPr="00174BA8">
              <w:rPr>
                <w:rFonts w:ascii="Times New Roman" w:hAnsi="Times New Roman"/>
                <w:sz w:val="13"/>
                <w:szCs w:val="13"/>
                <w:lang w:val="en-US" w:eastAsia="en-US"/>
              </w:rPr>
              <w:t>s</w:t>
            </w:r>
            <w:r w:rsidRPr="00174BA8">
              <w:rPr>
                <w:rFonts w:ascii="Times New Roman" w:hAnsi="Times New Roman"/>
                <w:sz w:val="13"/>
                <w:szCs w:val="13"/>
                <w:lang w:val="en-US" w:eastAsia="en-US"/>
              </w:rPr>
              <w:br/>
              <w:t>- anamnesis of ulc</w:t>
            </w:r>
            <w:r w:rsidR="008F79C3" w:rsidRPr="00174BA8">
              <w:rPr>
                <w:rFonts w:ascii="Times New Roman" w:hAnsi="Times New Roman"/>
                <w:sz w:val="13"/>
                <w:szCs w:val="13"/>
                <w:lang w:val="en-US" w:eastAsia="en-US"/>
              </w:rPr>
              <w:t>ers</w:t>
            </w:r>
            <w:r w:rsidRPr="00174BA8">
              <w:rPr>
                <w:rFonts w:ascii="Times New Roman" w:hAnsi="Times New Roman"/>
                <w:sz w:val="13"/>
                <w:szCs w:val="13"/>
                <w:lang w:val="en-US" w:eastAsia="en-US"/>
              </w:rPr>
              <w:br/>
              <w:t>- pregnancy</w:t>
            </w:r>
            <w:r w:rsidRPr="00174BA8">
              <w:rPr>
                <w:rFonts w:ascii="Times New Roman" w:hAnsi="Times New Roman"/>
                <w:sz w:val="13"/>
                <w:szCs w:val="13"/>
                <w:lang w:val="en-US" w:eastAsia="en-US"/>
              </w:rPr>
              <w:br/>
              <w:t>- insufficiency of kidneys and/or liver</w:t>
            </w:r>
          </w:p>
        </w:tc>
      </w:tr>
      <w:tr w:rsidR="00174BA8" w:rsidRPr="00174BA8" w14:paraId="5FB90A7C" w14:textId="77777777" w:rsidTr="008F79C3">
        <w:trPr>
          <w:trHeight w:val="420"/>
        </w:trPr>
        <w:tc>
          <w:tcPr>
            <w:tcW w:w="450" w:type="dxa"/>
            <w:vMerge/>
            <w:shd w:val="clear" w:color="auto" w:fill="auto"/>
            <w:noWrap/>
            <w:vAlign w:val="center"/>
          </w:tcPr>
          <w:p w14:paraId="4FA47060"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900" w:type="dxa"/>
            <w:shd w:val="clear" w:color="auto" w:fill="auto"/>
            <w:noWrap/>
            <w:vAlign w:val="center"/>
          </w:tcPr>
          <w:p w14:paraId="7277EC56"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auto"/>
            <w:vAlign w:val="center"/>
          </w:tcPr>
          <w:p w14:paraId="7DB29ACC" w14:textId="63C2B590"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 mg</w:t>
            </w:r>
          </w:p>
        </w:tc>
        <w:tc>
          <w:tcPr>
            <w:tcW w:w="990" w:type="dxa"/>
            <w:shd w:val="clear" w:color="auto" w:fill="auto"/>
            <w:vAlign w:val="center"/>
          </w:tcPr>
          <w:p w14:paraId="47E9722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auto" w:fill="auto"/>
            <w:vAlign w:val="center"/>
          </w:tcPr>
          <w:p w14:paraId="61CE221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enteric coated</w:t>
            </w:r>
          </w:p>
        </w:tc>
        <w:tc>
          <w:tcPr>
            <w:tcW w:w="540" w:type="dxa"/>
            <w:shd w:val="clear" w:color="auto" w:fill="auto"/>
            <w:vAlign w:val="center"/>
          </w:tcPr>
          <w:p w14:paraId="3BFF4604"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4B2DE9FC"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3B763CEB"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420BCB14"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630" w:type="dxa"/>
            <w:shd w:val="clear" w:color="auto" w:fill="auto"/>
            <w:vAlign w:val="center"/>
          </w:tcPr>
          <w:p w14:paraId="597A9196"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 </w:t>
            </w:r>
          </w:p>
        </w:tc>
        <w:tc>
          <w:tcPr>
            <w:tcW w:w="3060" w:type="dxa"/>
            <w:vMerge/>
            <w:shd w:val="clear" w:color="auto" w:fill="auto"/>
            <w:vAlign w:val="center"/>
          </w:tcPr>
          <w:p w14:paraId="4E3000BB"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auto"/>
            <w:vAlign w:val="center"/>
          </w:tcPr>
          <w:p w14:paraId="2298EC96"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23BDDE4D" w14:textId="77777777" w:rsidTr="008F79C3">
        <w:trPr>
          <w:trHeight w:val="80"/>
        </w:trPr>
        <w:tc>
          <w:tcPr>
            <w:tcW w:w="450" w:type="dxa"/>
            <w:vMerge w:val="restart"/>
            <w:shd w:val="clear" w:color="auto" w:fill="DBE5F1" w:themeFill="accent1" w:themeFillTint="33"/>
            <w:noWrap/>
            <w:vAlign w:val="center"/>
          </w:tcPr>
          <w:p w14:paraId="58D428A3"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w:t>
            </w:r>
          </w:p>
        </w:tc>
        <w:tc>
          <w:tcPr>
            <w:tcW w:w="900" w:type="dxa"/>
            <w:shd w:val="clear" w:color="auto" w:fill="DBE5F1" w:themeFill="accent1" w:themeFillTint="33"/>
            <w:noWrap/>
            <w:vAlign w:val="center"/>
          </w:tcPr>
          <w:p w14:paraId="5E27DD24"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Diclofenac sodium</w:t>
            </w:r>
          </w:p>
        </w:tc>
        <w:tc>
          <w:tcPr>
            <w:tcW w:w="810" w:type="dxa"/>
            <w:shd w:val="clear" w:color="auto" w:fill="DBE5F1" w:themeFill="accent1" w:themeFillTint="33"/>
            <w:vAlign w:val="center"/>
          </w:tcPr>
          <w:p w14:paraId="3A5B8572" w14:textId="3FBC5285"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100/150 mg</w:t>
            </w:r>
          </w:p>
        </w:tc>
        <w:tc>
          <w:tcPr>
            <w:tcW w:w="990" w:type="dxa"/>
            <w:shd w:val="clear" w:color="auto" w:fill="DBE5F1" w:themeFill="accent1" w:themeFillTint="33"/>
            <w:vAlign w:val="center"/>
          </w:tcPr>
          <w:p w14:paraId="641B384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auto" w:fill="DBE5F1" w:themeFill="accent1" w:themeFillTint="33"/>
            <w:vAlign w:val="center"/>
          </w:tcPr>
          <w:p w14:paraId="034C1CF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tablet</w:t>
            </w:r>
          </w:p>
        </w:tc>
        <w:tc>
          <w:tcPr>
            <w:tcW w:w="540" w:type="dxa"/>
            <w:shd w:val="clear" w:color="auto" w:fill="DBE5F1" w:themeFill="accent1" w:themeFillTint="33"/>
            <w:vAlign w:val="center"/>
          </w:tcPr>
          <w:p w14:paraId="1A012480"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RCT, AC, DB, MC</w:t>
            </w:r>
          </w:p>
        </w:tc>
        <w:tc>
          <w:tcPr>
            <w:tcW w:w="630" w:type="dxa"/>
            <w:shd w:val="clear" w:color="auto" w:fill="DBE5F1" w:themeFill="accent1" w:themeFillTint="33"/>
            <w:vAlign w:val="center"/>
          </w:tcPr>
          <w:p w14:paraId="38E20F61"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4</w:t>
            </w:r>
          </w:p>
        </w:tc>
        <w:tc>
          <w:tcPr>
            <w:tcW w:w="630" w:type="dxa"/>
            <w:shd w:val="clear" w:color="auto" w:fill="DBE5F1" w:themeFill="accent1" w:themeFillTint="33"/>
            <w:vAlign w:val="center"/>
          </w:tcPr>
          <w:p w14:paraId="5374D4A7"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Canada</w:t>
            </w:r>
          </w:p>
        </w:tc>
        <w:tc>
          <w:tcPr>
            <w:tcW w:w="630" w:type="dxa"/>
            <w:shd w:val="clear" w:color="auto" w:fill="DBE5F1" w:themeFill="accent1" w:themeFillTint="33"/>
            <w:vAlign w:val="center"/>
          </w:tcPr>
          <w:p w14:paraId="440EF165"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1981</w:t>
            </w:r>
          </w:p>
        </w:tc>
        <w:tc>
          <w:tcPr>
            <w:tcW w:w="630" w:type="dxa"/>
            <w:shd w:val="clear" w:color="auto" w:fill="DBE5F1" w:themeFill="accent1" w:themeFillTint="33"/>
            <w:vAlign w:val="center"/>
          </w:tcPr>
          <w:p w14:paraId="0C4F8AA8"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84</w:t>
            </w:r>
          </w:p>
        </w:tc>
        <w:tc>
          <w:tcPr>
            <w:tcW w:w="3060" w:type="dxa"/>
            <w:shd w:val="clear" w:color="auto" w:fill="DBE5F1" w:themeFill="accent1" w:themeFillTint="33"/>
          </w:tcPr>
          <w:p w14:paraId="62871623" w14:textId="41B7D26A" w:rsidR="00121976" w:rsidRPr="00174BA8" w:rsidRDefault="00121976" w:rsidP="007E0FCD">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Outpatients of both sexes.</w:t>
            </w:r>
            <w:r w:rsidRPr="00174BA8">
              <w:rPr>
                <w:rFonts w:ascii="Times New Roman" w:hAnsi="Times New Roman"/>
                <w:sz w:val="13"/>
                <w:szCs w:val="13"/>
                <w:lang w:val="en-US" w:eastAsia="en-US"/>
              </w:rPr>
              <w:br/>
              <w:t>- Age: 40 to 75 years inclusive</w:t>
            </w:r>
            <w:r w:rsidRPr="00174BA8">
              <w:rPr>
                <w:rFonts w:ascii="Times New Roman" w:hAnsi="Times New Roman"/>
                <w:sz w:val="13"/>
                <w:szCs w:val="13"/>
                <w:lang w:val="en-US" w:eastAsia="en-US"/>
              </w:rPr>
              <w:br/>
              <w:t>- Patients with a diagnosis of OA of the knee who had required regular treatment with naproxen and/or other NSAIDs for the control of the signs or symptoms of their disease, for at least three months prior to enrollment in the trial.</w:t>
            </w:r>
            <w:r w:rsidRPr="00174BA8">
              <w:rPr>
                <w:rFonts w:ascii="Times New Roman" w:hAnsi="Times New Roman"/>
                <w:sz w:val="13"/>
                <w:szCs w:val="13"/>
                <w:lang w:val="en-US" w:eastAsia="en-US"/>
              </w:rPr>
              <w:br/>
              <w:t>- Patients must belong to ARA functional Class II or III.</w:t>
            </w:r>
            <w:r w:rsidRPr="00174BA8">
              <w:rPr>
                <w:rFonts w:ascii="Times New Roman" w:hAnsi="Times New Roman"/>
                <w:sz w:val="13"/>
                <w:szCs w:val="13"/>
                <w:lang w:val="en-US" w:eastAsia="en-US"/>
              </w:rPr>
              <w:br/>
              <w:t>- Patients on physiotherapy were included, provided the program was not changed during the trial.</w:t>
            </w:r>
            <w:r w:rsidRPr="00174BA8">
              <w:rPr>
                <w:rFonts w:ascii="Times New Roman" w:hAnsi="Times New Roman"/>
                <w:sz w:val="13"/>
                <w:szCs w:val="13"/>
                <w:lang w:val="en-US" w:eastAsia="en-US"/>
              </w:rPr>
              <w:br/>
              <w:t>- Patient must have evidence of active disease to qualify for entry into the study.</w:t>
            </w:r>
            <w:r w:rsidRPr="00174BA8">
              <w:rPr>
                <w:rFonts w:ascii="Times New Roman" w:hAnsi="Times New Roman"/>
                <w:sz w:val="13"/>
                <w:szCs w:val="13"/>
                <w:lang w:val="en-US" w:eastAsia="en-US"/>
              </w:rPr>
              <w:br/>
              <w:t>- Patients with the diagnosis of primary osteoarthritis or secondary osteoarthritis of the knee due to trauma or any condition leading to OA of the knee. The acute disease leading to secondary OA must have occurred at least five years prior to entry into the study.</w:t>
            </w:r>
          </w:p>
        </w:tc>
        <w:tc>
          <w:tcPr>
            <w:tcW w:w="4752" w:type="dxa"/>
            <w:gridSpan w:val="2"/>
            <w:vMerge w:val="restart"/>
            <w:shd w:val="clear" w:color="auto" w:fill="DBE5F1" w:themeFill="accent1" w:themeFillTint="33"/>
          </w:tcPr>
          <w:p w14:paraId="73692503" w14:textId="3C4CF54D" w:rsidR="00121976" w:rsidRPr="00174BA8" w:rsidRDefault="00121976" w:rsidP="0036733A">
            <w:pPr>
              <w:spacing w:after="0" w:line="240" w:lineRule="auto"/>
              <w:jc w:val="left"/>
              <w:rPr>
                <w:rFonts w:ascii="Times New Roman" w:hAnsi="Times New Roman"/>
                <w:sz w:val="13"/>
                <w:szCs w:val="13"/>
                <w:lang w:val="en-US" w:eastAsia="en-US"/>
              </w:rPr>
            </w:pPr>
            <w:r w:rsidRPr="00174BA8">
              <w:rPr>
                <w:rFonts w:ascii="Times New Roman" w:hAnsi="Times New Roman"/>
                <w:sz w:val="13"/>
                <w:szCs w:val="13"/>
                <w:lang w:val="en-US" w:eastAsia="en-US"/>
              </w:rPr>
              <w:t>- Patients with arthritis due to any other etiology.</w:t>
            </w:r>
            <w:r w:rsidRPr="00174BA8">
              <w:rPr>
                <w:rFonts w:ascii="Times New Roman" w:hAnsi="Times New Roman"/>
                <w:sz w:val="13"/>
                <w:szCs w:val="13"/>
                <w:lang w:val="en-US" w:eastAsia="en-US"/>
              </w:rPr>
              <w:br/>
              <w:t>- Patients who were considered candidates for joint replacement.</w:t>
            </w:r>
            <w:r w:rsidRPr="00174BA8">
              <w:rPr>
                <w:rFonts w:ascii="Times New Roman" w:hAnsi="Times New Roman"/>
                <w:sz w:val="13"/>
                <w:szCs w:val="13"/>
                <w:lang w:val="en-US" w:eastAsia="en-US"/>
              </w:rPr>
              <w:br/>
              <w:t>- Active peptic ulcer, current gastritis, regional enteritis or ulcerative colitis. Patients with a history of recurrent peptic ulcer and either gastrectomy or significant gastro-intestinal bleeding were not entered into the study. The presence of a malabsorption syndrome or disease, well as an ileal shunt or any form of intestinal by-pass operation, was ground for exclusion.</w:t>
            </w:r>
            <w:r w:rsidRPr="00174BA8">
              <w:rPr>
                <w:rFonts w:ascii="Times New Roman" w:hAnsi="Times New Roman"/>
                <w:sz w:val="13"/>
                <w:szCs w:val="13"/>
                <w:lang w:val="en-US" w:eastAsia="en-US"/>
              </w:rPr>
              <w:br/>
              <w:t>- Cirrhosis, hepatitis, and any other infectious disease involving the liver, including conditions significantly affecting hepatic function such as hepatic failure, drug-induced hepatotoxicity, and conditions causing biliary obstruction. Laboratory values in excess of 30% above the upper limit of the normal range for the following tests were grounds for exclusion: SGOT, LDH, alkaline phosphatase, bilirubin (total)</w:t>
            </w:r>
            <w:r w:rsidRPr="00174BA8">
              <w:rPr>
                <w:rFonts w:ascii="Times New Roman" w:hAnsi="Times New Roman"/>
                <w:sz w:val="13"/>
                <w:szCs w:val="13"/>
                <w:lang w:val="en-US" w:eastAsia="en-US"/>
              </w:rPr>
              <w:br/>
              <w:t>- Uremia, chronic glomerulonephritis, nephrosis, obstruction of the urinary tract, any form of pyelonephritis, and laboratory values in excess of 30% above the upper limit of the normal range for the following tests were grounds for exclusion: serum uric acid and serum creatinine</w:t>
            </w:r>
            <w:r w:rsidRPr="00174BA8">
              <w:rPr>
                <w:rFonts w:ascii="Times New Roman" w:hAnsi="Times New Roman"/>
                <w:sz w:val="13"/>
                <w:szCs w:val="13"/>
                <w:lang w:val="en-US" w:eastAsia="en-US"/>
              </w:rPr>
              <w:br/>
              <w:t>- Patients who in the opinion of the investigator exhibited a clinically significant laboratory abnormality.</w:t>
            </w:r>
            <w:r w:rsidRPr="00174BA8">
              <w:rPr>
                <w:rFonts w:ascii="Times New Roman" w:hAnsi="Times New Roman"/>
                <w:sz w:val="13"/>
                <w:szCs w:val="13"/>
                <w:lang w:val="en-US" w:eastAsia="en-US"/>
              </w:rPr>
              <w:br/>
              <w:t>- Recent myocardial infarction (less than 3 months) or uncontrolled: congestive cardiac failure, hypertension, diabetes mellitus, and coronary artery disease</w:t>
            </w:r>
            <w:r w:rsidRPr="00174BA8">
              <w:rPr>
                <w:rFonts w:ascii="Times New Roman" w:hAnsi="Times New Roman"/>
                <w:sz w:val="13"/>
                <w:szCs w:val="13"/>
                <w:lang w:val="en-US" w:eastAsia="en-US"/>
              </w:rPr>
              <w:br/>
              <w:t>- A history of hemorrhagic diathesis or agranulocytosis.</w:t>
            </w:r>
            <w:r w:rsidRPr="00174BA8">
              <w:rPr>
                <w:rFonts w:ascii="Times New Roman" w:hAnsi="Times New Roman"/>
                <w:sz w:val="13"/>
                <w:szCs w:val="13"/>
                <w:lang w:val="en-US" w:eastAsia="en-US"/>
              </w:rPr>
              <w:br/>
              <w:t>- Uncontrolled hypo- or hyperthyroidism; adrenal insufficiency (Addison's Disease).</w:t>
            </w:r>
            <w:r w:rsidRPr="00174BA8">
              <w:rPr>
                <w:rFonts w:ascii="Times New Roman" w:hAnsi="Times New Roman"/>
                <w:sz w:val="13"/>
                <w:szCs w:val="13"/>
                <w:lang w:val="en-US" w:eastAsia="en-US"/>
              </w:rPr>
              <w:br/>
              <w:t>- A major systemic infection or major surgery during the previous three months.</w:t>
            </w:r>
            <w:r w:rsidRPr="00174BA8">
              <w:rPr>
                <w:rFonts w:ascii="Times New Roman" w:hAnsi="Times New Roman"/>
                <w:sz w:val="13"/>
                <w:szCs w:val="13"/>
                <w:lang w:val="en-US" w:eastAsia="en-US"/>
              </w:rPr>
              <w:br/>
              <w:t>- Concomitant use of anticoagulants.</w:t>
            </w:r>
            <w:r w:rsidRPr="00174BA8">
              <w:rPr>
                <w:rFonts w:ascii="Times New Roman" w:hAnsi="Times New Roman"/>
                <w:sz w:val="13"/>
                <w:szCs w:val="13"/>
                <w:lang w:val="en-US" w:eastAsia="en-US"/>
              </w:rPr>
              <w:br/>
              <w:t xml:space="preserve">- Diabetes mellitus treated with insulin or oral hypoglycemic agents. </w:t>
            </w:r>
            <w:r w:rsidRPr="00174BA8">
              <w:rPr>
                <w:rFonts w:ascii="Times New Roman" w:hAnsi="Times New Roman"/>
                <w:sz w:val="13"/>
                <w:szCs w:val="13"/>
                <w:lang w:val="en-US" w:eastAsia="en-US"/>
              </w:rPr>
              <w:br/>
              <w:t xml:space="preserve">- Patients with hypersensitivity, or who developed attacks of asthma, urticaria, or acute rhinitis, following treatment with naproxen or other agents with prostaglandin synthetase inhibiting activity. Patients who required other analgesic or anti-inflammatory agents, or corticosteroids orally or intra-articularly or aspirin-containing products, were not included in the study. However, the use of a rescue non-anti-inflammatory analgesic (e.g. acetaminophen) was allowed but not encouraged. </w:t>
            </w:r>
            <w:r w:rsidRPr="00174BA8">
              <w:rPr>
                <w:rFonts w:ascii="Times New Roman" w:hAnsi="Times New Roman"/>
                <w:sz w:val="13"/>
                <w:szCs w:val="13"/>
                <w:lang w:val="en-US" w:eastAsia="en-US"/>
              </w:rPr>
              <w:br/>
              <w:t>- Patients who received local corticosteroid injections for the treatment of OA less than 3 months prior to entry into this study.</w:t>
            </w:r>
            <w:r w:rsidRPr="00174BA8">
              <w:rPr>
                <w:rFonts w:ascii="Times New Roman" w:hAnsi="Times New Roman"/>
                <w:sz w:val="13"/>
                <w:szCs w:val="13"/>
                <w:lang w:val="en-US" w:eastAsia="en-US"/>
              </w:rPr>
              <w:br/>
              <w:t>- The patient's joint to be evaluated should not have undergone partial or total joint replacement surgery.</w:t>
            </w:r>
          </w:p>
        </w:tc>
      </w:tr>
      <w:tr w:rsidR="00174BA8" w:rsidRPr="00174BA8" w14:paraId="37C1D709" w14:textId="77777777" w:rsidTr="008F79C3">
        <w:trPr>
          <w:trHeight w:val="420"/>
        </w:trPr>
        <w:tc>
          <w:tcPr>
            <w:tcW w:w="450" w:type="dxa"/>
            <w:vMerge/>
            <w:shd w:val="clear" w:color="auto" w:fill="DBE5F1" w:themeFill="accent1" w:themeFillTint="33"/>
            <w:noWrap/>
            <w:vAlign w:val="center"/>
          </w:tcPr>
          <w:p w14:paraId="4605ED57" w14:textId="77777777" w:rsidR="00121976" w:rsidRPr="00174BA8" w:rsidRDefault="00121976" w:rsidP="007E0FCD">
            <w:pPr>
              <w:spacing w:after="0" w:line="240" w:lineRule="auto"/>
              <w:rPr>
                <w:rFonts w:ascii="Times New Roman" w:hAnsi="Times New Roman"/>
                <w:sz w:val="13"/>
                <w:szCs w:val="13"/>
                <w:lang w:val="en-US" w:eastAsia="en-US"/>
              </w:rPr>
            </w:pPr>
          </w:p>
        </w:tc>
        <w:tc>
          <w:tcPr>
            <w:tcW w:w="900" w:type="dxa"/>
            <w:shd w:val="clear" w:color="auto" w:fill="DBE5F1" w:themeFill="accent1" w:themeFillTint="33"/>
            <w:noWrap/>
            <w:vAlign w:val="center"/>
          </w:tcPr>
          <w:p w14:paraId="6C6EF360" w14:textId="77777777" w:rsidR="00121976" w:rsidRPr="00174BA8" w:rsidRDefault="00121976" w:rsidP="007E0FCD">
            <w:pPr>
              <w:spacing w:after="0" w:line="240" w:lineRule="auto"/>
              <w:rPr>
                <w:rFonts w:ascii="Times New Roman" w:hAnsi="Times New Roman"/>
                <w:sz w:val="13"/>
                <w:szCs w:val="13"/>
                <w:lang w:val="en-US" w:eastAsia="en-US"/>
              </w:rPr>
            </w:pPr>
            <w:r w:rsidRPr="00174BA8">
              <w:rPr>
                <w:rFonts w:ascii="Times New Roman" w:hAnsi="Times New Roman"/>
                <w:sz w:val="13"/>
                <w:szCs w:val="13"/>
                <w:lang w:val="en-US" w:eastAsia="en-US"/>
              </w:rPr>
              <w:t>Naproxen</w:t>
            </w:r>
          </w:p>
        </w:tc>
        <w:tc>
          <w:tcPr>
            <w:tcW w:w="810" w:type="dxa"/>
            <w:shd w:val="clear" w:color="auto" w:fill="DBE5F1" w:themeFill="accent1" w:themeFillTint="33"/>
            <w:vAlign w:val="center"/>
          </w:tcPr>
          <w:p w14:paraId="777BA2BB" w14:textId="36B67FCD"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500/750 mg</w:t>
            </w:r>
          </w:p>
        </w:tc>
        <w:tc>
          <w:tcPr>
            <w:tcW w:w="990" w:type="dxa"/>
            <w:shd w:val="clear" w:color="auto" w:fill="DBE5F1" w:themeFill="accent1" w:themeFillTint="33"/>
            <w:vAlign w:val="center"/>
          </w:tcPr>
          <w:p w14:paraId="5D1EDFAF"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BID</w:t>
            </w:r>
          </w:p>
        </w:tc>
        <w:tc>
          <w:tcPr>
            <w:tcW w:w="810" w:type="dxa"/>
            <w:shd w:val="clear" w:color="auto" w:fill="DBE5F1" w:themeFill="accent1" w:themeFillTint="33"/>
            <w:vAlign w:val="center"/>
          </w:tcPr>
          <w:p w14:paraId="0478313E" w14:textId="77777777" w:rsidR="00121976" w:rsidRPr="00174BA8" w:rsidRDefault="00121976" w:rsidP="007E0FCD">
            <w:pPr>
              <w:spacing w:after="0" w:line="240" w:lineRule="auto"/>
              <w:jc w:val="center"/>
              <w:rPr>
                <w:rFonts w:ascii="Times New Roman" w:hAnsi="Times New Roman"/>
                <w:sz w:val="13"/>
                <w:szCs w:val="13"/>
                <w:lang w:val="en-US" w:eastAsia="en-US"/>
              </w:rPr>
            </w:pPr>
            <w:r w:rsidRPr="00174BA8">
              <w:rPr>
                <w:rFonts w:ascii="Times New Roman" w:hAnsi="Times New Roman"/>
                <w:sz w:val="13"/>
                <w:szCs w:val="13"/>
                <w:lang w:val="en-US" w:eastAsia="en-US"/>
              </w:rPr>
              <w:t>capsule</w:t>
            </w:r>
          </w:p>
        </w:tc>
        <w:tc>
          <w:tcPr>
            <w:tcW w:w="540" w:type="dxa"/>
            <w:shd w:val="clear" w:color="auto" w:fill="DBE5F1" w:themeFill="accent1" w:themeFillTint="33"/>
            <w:vAlign w:val="center"/>
          </w:tcPr>
          <w:p w14:paraId="1205C3E2"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DBE5F1" w:themeFill="accent1" w:themeFillTint="33"/>
            <w:vAlign w:val="center"/>
          </w:tcPr>
          <w:p w14:paraId="02387CF6"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DBE5F1" w:themeFill="accent1" w:themeFillTint="33"/>
            <w:vAlign w:val="center"/>
          </w:tcPr>
          <w:p w14:paraId="4C1EA443"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DBE5F1" w:themeFill="accent1" w:themeFillTint="33"/>
            <w:vAlign w:val="center"/>
          </w:tcPr>
          <w:p w14:paraId="4E906F57"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630" w:type="dxa"/>
            <w:shd w:val="clear" w:color="auto" w:fill="DBE5F1" w:themeFill="accent1" w:themeFillTint="33"/>
            <w:vAlign w:val="center"/>
          </w:tcPr>
          <w:p w14:paraId="160C34A6" w14:textId="77777777" w:rsidR="00121976" w:rsidRPr="00174BA8" w:rsidRDefault="00121976" w:rsidP="007E0FCD">
            <w:pPr>
              <w:spacing w:after="0" w:line="240" w:lineRule="auto"/>
              <w:jc w:val="center"/>
              <w:rPr>
                <w:rFonts w:ascii="Times New Roman" w:hAnsi="Times New Roman"/>
                <w:sz w:val="13"/>
                <w:szCs w:val="13"/>
                <w:lang w:val="en-US" w:eastAsia="en-US"/>
              </w:rPr>
            </w:pPr>
          </w:p>
        </w:tc>
        <w:tc>
          <w:tcPr>
            <w:tcW w:w="3060" w:type="dxa"/>
            <w:shd w:val="clear" w:color="auto" w:fill="DBE5F1" w:themeFill="accent1" w:themeFillTint="33"/>
            <w:vAlign w:val="center"/>
          </w:tcPr>
          <w:p w14:paraId="6D4C8830" w14:textId="77777777" w:rsidR="00121976" w:rsidRPr="00174BA8" w:rsidRDefault="00121976" w:rsidP="007E0FCD">
            <w:pPr>
              <w:spacing w:after="0" w:line="240" w:lineRule="auto"/>
              <w:jc w:val="left"/>
              <w:rPr>
                <w:rFonts w:ascii="Times New Roman" w:hAnsi="Times New Roman"/>
                <w:sz w:val="13"/>
                <w:szCs w:val="13"/>
                <w:lang w:val="en-US" w:eastAsia="en-US"/>
              </w:rPr>
            </w:pPr>
          </w:p>
        </w:tc>
        <w:tc>
          <w:tcPr>
            <w:tcW w:w="4752" w:type="dxa"/>
            <w:gridSpan w:val="2"/>
            <w:vMerge/>
            <w:shd w:val="clear" w:color="auto" w:fill="DBE5F1" w:themeFill="accent1" w:themeFillTint="33"/>
            <w:vAlign w:val="center"/>
          </w:tcPr>
          <w:p w14:paraId="2C118902" w14:textId="77777777" w:rsidR="00121976" w:rsidRPr="00174BA8" w:rsidRDefault="00121976" w:rsidP="007E0FCD">
            <w:pPr>
              <w:spacing w:after="0" w:line="240" w:lineRule="auto"/>
              <w:jc w:val="left"/>
              <w:rPr>
                <w:rFonts w:ascii="Times New Roman" w:hAnsi="Times New Roman"/>
                <w:sz w:val="13"/>
                <w:szCs w:val="13"/>
                <w:lang w:val="en-US" w:eastAsia="en-US"/>
              </w:rPr>
            </w:pPr>
          </w:p>
        </w:tc>
      </w:tr>
      <w:tr w:rsidR="00174BA8" w:rsidRPr="00174BA8" w14:paraId="65F842FC" w14:textId="77777777" w:rsidTr="008F79C3">
        <w:trPr>
          <w:trHeight w:val="420"/>
        </w:trPr>
        <w:tc>
          <w:tcPr>
            <w:tcW w:w="14832" w:type="dxa"/>
            <w:gridSpan w:val="13"/>
            <w:shd w:val="clear" w:color="auto" w:fill="auto"/>
            <w:noWrap/>
            <w:vAlign w:val="center"/>
          </w:tcPr>
          <w:p w14:paraId="2DFD3573" w14:textId="2153DFDA" w:rsidR="00960D6E" w:rsidRPr="00174BA8" w:rsidRDefault="000359F2" w:rsidP="007E0FCD">
            <w:pPr>
              <w:spacing w:after="0" w:line="240" w:lineRule="auto"/>
              <w:jc w:val="left"/>
              <w:rPr>
                <w:rFonts w:ascii="Times New Roman" w:hAnsi="Times New Roman"/>
                <w:sz w:val="13"/>
                <w:szCs w:val="13"/>
                <w:lang w:val="en-US" w:eastAsia="en-US"/>
              </w:rPr>
            </w:pPr>
            <w:r w:rsidRPr="00174BA8">
              <w:rPr>
                <w:rFonts w:ascii="Times New Roman" w:hAnsi="Times New Roman"/>
                <w:i/>
                <w:sz w:val="13"/>
                <w:szCs w:val="13"/>
              </w:rPr>
              <w:t xml:space="preserve">AC, active controlled; DB, double blind; DD, double dummy; </w:t>
            </w:r>
            <w:r w:rsidR="00960D6E" w:rsidRPr="00174BA8">
              <w:rPr>
                <w:rFonts w:ascii="Times New Roman" w:hAnsi="Times New Roman"/>
                <w:i/>
                <w:sz w:val="13"/>
                <w:szCs w:val="13"/>
              </w:rPr>
              <w:t xml:space="preserve">DIP, distal </w:t>
            </w:r>
            <w:r w:rsidR="00726F2D" w:rsidRPr="00174BA8">
              <w:rPr>
                <w:rFonts w:ascii="Times New Roman" w:hAnsi="Times New Roman"/>
                <w:i/>
                <w:sz w:val="13"/>
                <w:szCs w:val="13"/>
              </w:rPr>
              <w:t>interphalangeal</w:t>
            </w:r>
            <w:r w:rsidR="00960D6E" w:rsidRPr="00174BA8">
              <w:rPr>
                <w:rFonts w:ascii="Times New Roman" w:hAnsi="Times New Roman"/>
                <w:i/>
                <w:sz w:val="13"/>
                <w:szCs w:val="13"/>
              </w:rPr>
              <w:t xml:space="preserve"> joints; ECG, electrocardiogram; GP, general practice; </w:t>
            </w:r>
            <w:r w:rsidRPr="00174BA8">
              <w:rPr>
                <w:rFonts w:ascii="Times New Roman" w:hAnsi="Times New Roman"/>
                <w:i/>
                <w:sz w:val="13"/>
                <w:szCs w:val="13"/>
              </w:rPr>
              <w:t xml:space="preserve">MC, multi-centered; </w:t>
            </w:r>
            <w:r w:rsidR="00960D6E" w:rsidRPr="00174BA8">
              <w:rPr>
                <w:rFonts w:ascii="Times New Roman" w:hAnsi="Times New Roman"/>
                <w:i/>
                <w:sz w:val="13"/>
                <w:szCs w:val="13"/>
              </w:rPr>
              <w:t>MCP,</w:t>
            </w:r>
            <w:r w:rsidR="00960D6E" w:rsidRPr="00174BA8">
              <w:t xml:space="preserve"> </w:t>
            </w:r>
            <w:r w:rsidR="00960D6E" w:rsidRPr="00174BA8">
              <w:rPr>
                <w:rFonts w:ascii="Times New Roman" w:hAnsi="Times New Roman"/>
                <w:i/>
                <w:sz w:val="13"/>
                <w:szCs w:val="13"/>
              </w:rPr>
              <w:t xml:space="preserve">Metacarpophalangeal; NSAIDs, non-steroidal anti-inflammatory drugs; OA, osteoarthritis; </w:t>
            </w:r>
            <w:r w:rsidRPr="00174BA8">
              <w:rPr>
                <w:rFonts w:ascii="Times New Roman" w:hAnsi="Times New Roman"/>
                <w:i/>
                <w:sz w:val="13"/>
                <w:szCs w:val="13"/>
              </w:rPr>
              <w:t xml:space="preserve">RCT, randomised controlled trial; </w:t>
            </w:r>
            <w:r w:rsidR="00960D6E" w:rsidRPr="00174BA8">
              <w:rPr>
                <w:rFonts w:ascii="Times New Roman" w:hAnsi="Times New Roman"/>
                <w:i/>
                <w:sz w:val="13"/>
                <w:szCs w:val="13"/>
              </w:rPr>
              <w:t>VAS, visual analogue scale</w:t>
            </w:r>
          </w:p>
        </w:tc>
      </w:tr>
    </w:tbl>
    <w:p w14:paraId="22634EC9" w14:textId="77777777" w:rsidR="00F00CF0" w:rsidRPr="00610759" w:rsidRDefault="00F00CF0" w:rsidP="00F00CF0">
      <w:pPr>
        <w:spacing w:after="0" w:line="240" w:lineRule="auto"/>
        <w:jc w:val="left"/>
        <w:rPr>
          <w:rFonts w:ascii="Times New Roman" w:hAnsi="Times New Roman"/>
        </w:rPr>
      </w:pPr>
    </w:p>
    <w:p w14:paraId="56D238AE" w14:textId="77777777" w:rsidR="00F00CF0" w:rsidRPr="000359F2" w:rsidRDefault="00F00CF0" w:rsidP="00F00CF0">
      <w:pPr>
        <w:pStyle w:val="Caption"/>
        <w:rPr>
          <w:rFonts w:ascii="Times New Roman" w:hAnsi="Times New Roman"/>
          <w:lang w:val="en-GB"/>
        </w:rPr>
        <w:sectPr w:rsidR="00F00CF0" w:rsidRPr="000359F2" w:rsidSect="007E0FCD">
          <w:endnotePr>
            <w:numFmt w:val="decimal"/>
          </w:endnotePr>
          <w:pgSz w:w="16839" w:h="11907" w:orient="landscape" w:code="9"/>
          <w:pgMar w:top="1418" w:right="1588" w:bottom="1418" w:left="1418" w:header="720" w:footer="567" w:gutter="0"/>
          <w:cols w:space="720"/>
          <w:titlePg/>
          <w:docGrid w:linePitch="272"/>
        </w:sectPr>
      </w:pPr>
      <w:bookmarkStart w:id="1" w:name="_GoBack"/>
      <w:bookmarkEnd w:id="1"/>
    </w:p>
    <w:p w14:paraId="59D545DF" w14:textId="77777777" w:rsidR="00F00CF0" w:rsidRPr="00732702" w:rsidRDefault="009262A0" w:rsidP="00F00CF0">
      <w:pPr>
        <w:pStyle w:val="Caption"/>
        <w:rPr>
          <w:rFonts w:ascii="Times New Roman" w:hAnsi="Times New Roman"/>
          <w:sz w:val="24"/>
        </w:rPr>
      </w:pPr>
      <w:bookmarkStart w:id="2" w:name="_Toc415063162"/>
      <w:r w:rsidRPr="00732702">
        <w:rPr>
          <w:rFonts w:ascii="Times New Roman" w:hAnsi="Times New Roman"/>
          <w:sz w:val="24"/>
        </w:rPr>
        <w:lastRenderedPageBreak/>
        <w:t>B.</w:t>
      </w:r>
      <w:r w:rsidR="00F00CF0" w:rsidRPr="00732702">
        <w:rPr>
          <w:rFonts w:ascii="Times New Roman" w:hAnsi="Times New Roman"/>
          <w:sz w:val="24"/>
        </w:rPr>
        <w:t xml:space="preserve"> Patients’ characteristics for CSRs retrieved for data extraction but not included in the NMA base case</w:t>
      </w:r>
      <w:bookmarkEnd w:id="2"/>
    </w:p>
    <w:p w14:paraId="65E673F8" w14:textId="77777777" w:rsidR="00F00CF0" w:rsidRPr="00610759" w:rsidRDefault="00F00CF0" w:rsidP="00F00CF0">
      <w:pPr>
        <w:rPr>
          <w:rFonts w:ascii="Times New Roman" w:hAnsi="Times New Roman"/>
          <w:lang w:val="en-US" w:eastAsia="ja-JP"/>
        </w:rPr>
      </w:pPr>
    </w:p>
    <w:tbl>
      <w:tblPr>
        <w:tblW w:w="5000" w:type="pct"/>
        <w:tblInd w:w="108" w:type="dxa"/>
        <w:tblLayout w:type="fixed"/>
        <w:tblLook w:val="04A0" w:firstRow="1" w:lastRow="0" w:firstColumn="1" w:lastColumn="0" w:noHBand="0" w:noVBand="1"/>
      </w:tblPr>
      <w:tblGrid>
        <w:gridCol w:w="899"/>
        <w:gridCol w:w="1619"/>
        <w:gridCol w:w="630"/>
        <w:gridCol w:w="899"/>
        <w:gridCol w:w="809"/>
        <w:gridCol w:w="719"/>
        <w:gridCol w:w="899"/>
        <w:gridCol w:w="1079"/>
        <w:gridCol w:w="899"/>
        <w:gridCol w:w="1170"/>
      </w:tblGrid>
      <w:tr w:rsidR="00B92D73" w:rsidRPr="00610759" w14:paraId="2BF9F8FA" w14:textId="77777777" w:rsidTr="00402413">
        <w:trPr>
          <w:trHeight w:val="198"/>
        </w:trPr>
        <w:tc>
          <w:tcPr>
            <w:tcW w:w="899" w:type="dxa"/>
            <w:vMerge w:val="restart"/>
            <w:tcBorders>
              <w:top w:val="single" w:sz="4" w:space="0" w:color="auto"/>
            </w:tcBorders>
            <w:shd w:val="clear" w:color="auto" w:fill="1F497D" w:themeFill="text2"/>
            <w:noWrap/>
            <w:vAlign w:val="center"/>
            <w:hideMark/>
          </w:tcPr>
          <w:p w14:paraId="54FBE9E1" w14:textId="23775CDB"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CSR name</w:t>
            </w:r>
          </w:p>
        </w:tc>
        <w:tc>
          <w:tcPr>
            <w:tcW w:w="1620" w:type="dxa"/>
            <w:vMerge w:val="restart"/>
            <w:tcBorders>
              <w:top w:val="single" w:sz="4" w:space="0" w:color="auto"/>
            </w:tcBorders>
            <w:shd w:val="clear" w:color="auto" w:fill="1F497D" w:themeFill="text2"/>
            <w:vAlign w:val="center"/>
            <w:hideMark/>
          </w:tcPr>
          <w:p w14:paraId="5F482F15" w14:textId="7777777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 xml:space="preserve">Treatment arms  </w:t>
            </w:r>
          </w:p>
          <w:p w14:paraId="6F432A5E" w14:textId="547D24E2" w:rsidR="00B92D73" w:rsidRPr="00610759" w:rsidRDefault="00B92D73" w:rsidP="00673386">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(dose per day)</w:t>
            </w:r>
          </w:p>
        </w:tc>
        <w:tc>
          <w:tcPr>
            <w:tcW w:w="630" w:type="dxa"/>
            <w:vMerge w:val="restart"/>
            <w:tcBorders>
              <w:top w:val="single" w:sz="4" w:space="0" w:color="auto"/>
            </w:tcBorders>
            <w:shd w:val="clear" w:color="auto" w:fill="1F497D" w:themeFill="text2"/>
            <w:noWrap/>
            <w:vAlign w:val="center"/>
            <w:hideMark/>
          </w:tcPr>
          <w:p w14:paraId="7EBD4E02" w14:textId="7777777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 xml:space="preserve">ITT </w:t>
            </w:r>
          </w:p>
          <w:p w14:paraId="3F66984A" w14:textId="760E900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w:t>
            </w:r>
            <w:r w:rsidRPr="00610759">
              <w:rPr>
                <w:rFonts w:ascii="Times New Roman" w:hAnsi="Times New Roman"/>
                <w:bCs/>
                <w:color w:val="FFFFFF" w:themeColor="background1"/>
                <w:sz w:val="14"/>
                <w:szCs w:val="14"/>
                <w:lang w:val="en-US"/>
              </w:rPr>
              <w:t>n</w:t>
            </w:r>
            <w:r>
              <w:rPr>
                <w:rFonts w:ascii="Times New Roman" w:hAnsi="Times New Roman"/>
                <w:bCs/>
                <w:color w:val="FFFFFF" w:themeColor="background1"/>
                <w:sz w:val="14"/>
                <w:szCs w:val="14"/>
                <w:lang w:val="en-US"/>
              </w:rPr>
              <w:t>)</w:t>
            </w:r>
          </w:p>
        </w:tc>
        <w:tc>
          <w:tcPr>
            <w:tcW w:w="900" w:type="dxa"/>
            <w:vMerge w:val="restart"/>
            <w:tcBorders>
              <w:top w:val="single" w:sz="4" w:space="0" w:color="auto"/>
            </w:tcBorders>
            <w:shd w:val="clear" w:color="auto" w:fill="1F497D" w:themeFill="text2"/>
            <w:vAlign w:val="center"/>
            <w:hideMark/>
          </w:tcPr>
          <w:p w14:paraId="5DED2892" w14:textId="7777777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Mean Age</w:t>
            </w:r>
          </w:p>
          <w:p w14:paraId="6E3A5323" w14:textId="7777777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(years)</w:t>
            </w:r>
          </w:p>
        </w:tc>
        <w:tc>
          <w:tcPr>
            <w:tcW w:w="810" w:type="dxa"/>
            <w:vMerge w:val="restart"/>
            <w:tcBorders>
              <w:top w:val="single" w:sz="4" w:space="0" w:color="auto"/>
            </w:tcBorders>
            <w:shd w:val="clear" w:color="auto" w:fill="1F497D" w:themeFill="text2"/>
            <w:vAlign w:val="center"/>
            <w:hideMark/>
          </w:tcPr>
          <w:p w14:paraId="4E944759" w14:textId="6DB37652" w:rsidR="00B92D73" w:rsidRPr="00610759" w:rsidRDefault="0040241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M</w:t>
            </w:r>
            <w:r w:rsidR="00B92D73" w:rsidRPr="00610759">
              <w:rPr>
                <w:rFonts w:ascii="Times New Roman" w:hAnsi="Times New Roman"/>
                <w:bCs/>
                <w:color w:val="FFFFFF" w:themeColor="background1"/>
                <w:sz w:val="14"/>
                <w:szCs w:val="14"/>
                <w:lang w:val="en-US"/>
              </w:rPr>
              <w:t>ale</w:t>
            </w:r>
            <w:r>
              <w:rPr>
                <w:rFonts w:ascii="Times New Roman" w:hAnsi="Times New Roman"/>
                <w:bCs/>
                <w:color w:val="FFFFFF" w:themeColor="background1"/>
                <w:sz w:val="14"/>
                <w:szCs w:val="14"/>
                <w:lang w:val="en-US"/>
              </w:rPr>
              <w:t xml:space="preserve"> (%)</w:t>
            </w:r>
          </w:p>
        </w:tc>
        <w:tc>
          <w:tcPr>
            <w:tcW w:w="1620" w:type="dxa"/>
            <w:gridSpan w:val="2"/>
            <w:tcBorders>
              <w:top w:val="single" w:sz="4" w:space="0" w:color="auto"/>
            </w:tcBorders>
            <w:shd w:val="clear" w:color="auto" w:fill="1F497D" w:themeFill="text2"/>
            <w:vAlign w:val="center"/>
            <w:hideMark/>
          </w:tcPr>
          <w:p w14:paraId="2981EEE2" w14:textId="70B48AAF" w:rsidR="00B92D73" w:rsidRPr="00610759" w:rsidRDefault="00B92D73" w:rsidP="00CF6B2B">
            <w:pPr>
              <w:pStyle w:val="NICEnormal"/>
              <w:spacing w:before="100" w:beforeAutospacing="1" w:after="0" w:line="240" w:lineRule="auto"/>
              <w:contextualSpacing/>
              <w:jc w:val="center"/>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Type</w:t>
            </w:r>
            <w:r w:rsidR="00B21D62">
              <w:rPr>
                <w:rFonts w:ascii="Times New Roman" w:hAnsi="Times New Roman"/>
                <w:bCs/>
                <w:color w:val="FFFFFF" w:themeColor="background1"/>
                <w:sz w:val="14"/>
                <w:szCs w:val="14"/>
                <w:lang w:val="en-US"/>
              </w:rPr>
              <w:t xml:space="preserve"> of</w:t>
            </w:r>
            <w:r w:rsidRPr="00610759">
              <w:rPr>
                <w:rFonts w:ascii="Times New Roman" w:hAnsi="Times New Roman"/>
                <w:bCs/>
                <w:color w:val="FFFFFF" w:themeColor="background1"/>
                <w:sz w:val="14"/>
                <w:szCs w:val="14"/>
                <w:lang w:val="en-US"/>
              </w:rPr>
              <w:t xml:space="preserve"> OA</w:t>
            </w:r>
            <w:r w:rsidR="00402413">
              <w:rPr>
                <w:rFonts w:ascii="Times New Roman" w:hAnsi="Times New Roman"/>
                <w:bCs/>
                <w:color w:val="FFFFFF" w:themeColor="background1"/>
                <w:sz w:val="14"/>
                <w:szCs w:val="14"/>
                <w:lang w:val="en-US"/>
              </w:rPr>
              <w:t xml:space="preserve"> (%)</w:t>
            </w:r>
          </w:p>
        </w:tc>
        <w:tc>
          <w:tcPr>
            <w:tcW w:w="1080" w:type="dxa"/>
            <w:vMerge w:val="restart"/>
            <w:tcBorders>
              <w:top w:val="single" w:sz="4" w:space="0" w:color="auto"/>
            </w:tcBorders>
            <w:shd w:val="clear" w:color="auto" w:fill="1F497D" w:themeFill="text2"/>
            <w:vAlign w:val="center"/>
            <w:hideMark/>
          </w:tcPr>
          <w:p w14:paraId="78B62DDD" w14:textId="5BE0B027" w:rsidR="00B92D73" w:rsidRPr="00610759" w:rsidRDefault="00B92D7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sidRPr="00610759">
              <w:rPr>
                <w:rFonts w:ascii="Times New Roman" w:hAnsi="Times New Roman"/>
                <w:bCs/>
                <w:color w:val="FFFFFF" w:themeColor="background1"/>
                <w:sz w:val="14"/>
                <w:szCs w:val="14"/>
                <w:lang w:val="en-US"/>
              </w:rPr>
              <w:t xml:space="preserve">Mean duration of disease </w:t>
            </w:r>
            <w:r w:rsidR="002B58CC">
              <w:rPr>
                <w:rFonts w:ascii="Times New Roman" w:hAnsi="Times New Roman"/>
                <w:bCs/>
                <w:color w:val="FFFFFF" w:themeColor="background1"/>
                <w:sz w:val="14"/>
                <w:szCs w:val="14"/>
                <w:lang w:val="en-US"/>
              </w:rPr>
              <w:t>(</w:t>
            </w:r>
            <w:r w:rsidRPr="00610759">
              <w:rPr>
                <w:rFonts w:ascii="Times New Roman" w:hAnsi="Times New Roman"/>
                <w:bCs/>
                <w:color w:val="FFFFFF" w:themeColor="background1"/>
                <w:sz w:val="14"/>
                <w:szCs w:val="14"/>
                <w:lang w:val="en-US"/>
              </w:rPr>
              <w:t>years</w:t>
            </w:r>
            <w:r w:rsidR="002B58CC">
              <w:rPr>
                <w:rFonts w:ascii="Times New Roman" w:hAnsi="Times New Roman"/>
                <w:bCs/>
                <w:color w:val="FFFFFF" w:themeColor="background1"/>
                <w:sz w:val="14"/>
                <w:szCs w:val="14"/>
                <w:lang w:val="en-US"/>
              </w:rPr>
              <w:t>)</w:t>
            </w:r>
          </w:p>
        </w:tc>
        <w:tc>
          <w:tcPr>
            <w:tcW w:w="900" w:type="dxa"/>
            <w:vMerge w:val="restart"/>
            <w:tcBorders>
              <w:top w:val="single" w:sz="4" w:space="0" w:color="auto"/>
            </w:tcBorders>
            <w:shd w:val="clear" w:color="auto" w:fill="1F497D" w:themeFill="text2"/>
            <w:vAlign w:val="center"/>
            <w:hideMark/>
          </w:tcPr>
          <w:p w14:paraId="000A685B" w14:textId="4E79ABFA" w:rsidR="00B92D73" w:rsidRPr="00610759" w:rsidRDefault="00EF588B"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Rescue medica</w:t>
            </w:r>
            <w:r w:rsidR="00B92D73" w:rsidRPr="00610759">
              <w:rPr>
                <w:rFonts w:ascii="Times New Roman" w:hAnsi="Times New Roman"/>
                <w:bCs/>
                <w:color w:val="FFFFFF" w:themeColor="background1"/>
                <w:sz w:val="14"/>
                <w:szCs w:val="14"/>
                <w:lang w:val="en-US"/>
              </w:rPr>
              <w:t>tion allowed</w:t>
            </w:r>
          </w:p>
        </w:tc>
        <w:tc>
          <w:tcPr>
            <w:tcW w:w="1171" w:type="dxa"/>
            <w:vMerge w:val="restart"/>
            <w:tcBorders>
              <w:top w:val="single" w:sz="4" w:space="0" w:color="auto"/>
            </w:tcBorders>
            <w:shd w:val="clear" w:color="auto" w:fill="1F497D" w:themeFill="text2"/>
            <w:vAlign w:val="center"/>
            <w:hideMark/>
          </w:tcPr>
          <w:p w14:paraId="2A522248" w14:textId="0A7A51A8" w:rsidR="00B92D73" w:rsidRPr="00610759" w:rsidRDefault="00402413"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D</w:t>
            </w:r>
            <w:r w:rsidR="00EF588B">
              <w:rPr>
                <w:rFonts w:ascii="Times New Roman" w:hAnsi="Times New Roman"/>
                <w:bCs/>
                <w:color w:val="FFFFFF" w:themeColor="background1"/>
                <w:sz w:val="14"/>
                <w:szCs w:val="14"/>
                <w:lang w:val="en-US"/>
              </w:rPr>
              <w:t>isconti</w:t>
            </w:r>
            <w:r w:rsidR="00B92D73" w:rsidRPr="00610759">
              <w:rPr>
                <w:rFonts w:ascii="Times New Roman" w:hAnsi="Times New Roman"/>
                <w:bCs/>
                <w:color w:val="FFFFFF" w:themeColor="background1"/>
                <w:sz w:val="14"/>
                <w:szCs w:val="14"/>
                <w:lang w:val="en-US"/>
              </w:rPr>
              <w:t>nuation</w:t>
            </w:r>
            <w:r>
              <w:rPr>
                <w:rFonts w:ascii="Times New Roman" w:hAnsi="Times New Roman"/>
                <w:bCs/>
                <w:color w:val="FFFFFF" w:themeColor="background1"/>
                <w:sz w:val="14"/>
                <w:szCs w:val="14"/>
                <w:lang w:val="en-US"/>
              </w:rPr>
              <w:t xml:space="preserve"> (</w:t>
            </w:r>
            <w:r w:rsidRPr="00610759">
              <w:rPr>
                <w:rFonts w:ascii="Times New Roman" w:hAnsi="Times New Roman"/>
                <w:bCs/>
                <w:color w:val="FFFFFF" w:themeColor="background1"/>
                <w:sz w:val="14"/>
                <w:szCs w:val="14"/>
                <w:lang w:val="en-US"/>
              </w:rPr>
              <w:t>%</w:t>
            </w:r>
            <w:r>
              <w:rPr>
                <w:rFonts w:ascii="Times New Roman" w:hAnsi="Times New Roman"/>
                <w:bCs/>
                <w:color w:val="FFFFFF" w:themeColor="background1"/>
                <w:sz w:val="14"/>
                <w:szCs w:val="14"/>
                <w:lang w:val="en-US"/>
              </w:rPr>
              <w:t>)</w:t>
            </w:r>
          </w:p>
        </w:tc>
      </w:tr>
      <w:tr w:rsidR="00B92D73" w:rsidRPr="00610759" w14:paraId="767E0E56" w14:textId="77777777" w:rsidTr="00402413">
        <w:trPr>
          <w:trHeight w:val="198"/>
        </w:trPr>
        <w:tc>
          <w:tcPr>
            <w:tcW w:w="899" w:type="dxa"/>
            <w:vMerge/>
            <w:shd w:val="clear" w:color="auto" w:fill="1F497D" w:themeFill="text2"/>
            <w:noWrap/>
            <w:vAlign w:val="center"/>
            <w:hideMark/>
          </w:tcPr>
          <w:p w14:paraId="2FD1679D" w14:textId="06F2568C"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1620" w:type="dxa"/>
            <w:vMerge/>
            <w:shd w:val="clear" w:color="auto" w:fill="1F497D" w:themeFill="text2"/>
            <w:vAlign w:val="center"/>
            <w:hideMark/>
          </w:tcPr>
          <w:p w14:paraId="0F80AEE1" w14:textId="4AE35B03"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630" w:type="dxa"/>
            <w:vMerge/>
            <w:shd w:val="clear" w:color="auto" w:fill="1F497D" w:themeFill="text2"/>
            <w:noWrap/>
            <w:vAlign w:val="center"/>
            <w:hideMark/>
          </w:tcPr>
          <w:p w14:paraId="56C1B418" w14:textId="2306B12D"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900" w:type="dxa"/>
            <w:vMerge/>
            <w:shd w:val="clear" w:color="auto" w:fill="1F497D" w:themeFill="text2"/>
            <w:noWrap/>
            <w:vAlign w:val="center"/>
            <w:hideMark/>
          </w:tcPr>
          <w:p w14:paraId="6026EC10" w14:textId="77777777"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810" w:type="dxa"/>
            <w:vMerge/>
            <w:shd w:val="clear" w:color="auto" w:fill="1F497D" w:themeFill="text2"/>
            <w:vAlign w:val="center"/>
            <w:hideMark/>
          </w:tcPr>
          <w:p w14:paraId="503AF881" w14:textId="77777777"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720" w:type="dxa"/>
            <w:shd w:val="clear" w:color="auto" w:fill="1F497D" w:themeFill="text2"/>
            <w:vAlign w:val="center"/>
            <w:hideMark/>
          </w:tcPr>
          <w:p w14:paraId="015C4CC7" w14:textId="1255089E" w:rsidR="00B92D73" w:rsidRPr="00610759" w:rsidRDefault="005E5860"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H</w:t>
            </w:r>
            <w:r w:rsidR="00B92D73" w:rsidRPr="00610759">
              <w:rPr>
                <w:rFonts w:ascii="Times New Roman" w:hAnsi="Times New Roman"/>
                <w:bCs/>
                <w:color w:val="FFFFFF" w:themeColor="background1"/>
                <w:sz w:val="14"/>
                <w:szCs w:val="14"/>
                <w:lang w:val="en-US"/>
              </w:rPr>
              <w:t>ip</w:t>
            </w:r>
          </w:p>
        </w:tc>
        <w:tc>
          <w:tcPr>
            <w:tcW w:w="900" w:type="dxa"/>
            <w:shd w:val="clear" w:color="auto" w:fill="1F497D" w:themeFill="text2"/>
            <w:vAlign w:val="center"/>
            <w:hideMark/>
          </w:tcPr>
          <w:p w14:paraId="4CFA0E96" w14:textId="029DFC0D" w:rsidR="00B92D73" w:rsidRPr="00610759" w:rsidRDefault="005E5860" w:rsidP="002B58CC">
            <w:pPr>
              <w:pStyle w:val="NICEnormal"/>
              <w:spacing w:before="100" w:beforeAutospacing="1" w:after="0" w:line="240" w:lineRule="auto"/>
              <w:contextualSpacing/>
              <w:rPr>
                <w:rFonts w:ascii="Times New Roman" w:hAnsi="Times New Roman"/>
                <w:bCs/>
                <w:color w:val="FFFFFF" w:themeColor="background1"/>
                <w:sz w:val="14"/>
                <w:szCs w:val="14"/>
                <w:lang w:val="en-US"/>
              </w:rPr>
            </w:pPr>
            <w:r>
              <w:rPr>
                <w:rFonts w:ascii="Times New Roman" w:hAnsi="Times New Roman"/>
                <w:bCs/>
                <w:color w:val="FFFFFF" w:themeColor="background1"/>
                <w:sz w:val="14"/>
                <w:szCs w:val="14"/>
                <w:lang w:val="en-US"/>
              </w:rPr>
              <w:t>K</w:t>
            </w:r>
            <w:r w:rsidR="00B92D73" w:rsidRPr="00610759">
              <w:rPr>
                <w:rFonts w:ascii="Times New Roman" w:hAnsi="Times New Roman"/>
                <w:bCs/>
                <w:color w:val="FFFFFF" w:themeColor="background1"/>
                <w:sz w:val="14"/>
                <w:szCs w:val="14"/>
                <w:lang w:val="en-US"/>
              </w:rPr>
              <w:t>nee</w:t>
            </w:r>
          </w:p>
        </w:tc>
        <w:tc>
          <w:tcPr>
            <w:tcW w:w="1080" w:type="dxa"/>
            <w:vMerge/>
            <w:shd w:val="clear" w:color="auto" w:fill="1F497D" w:themeFill="text2"/>
            <w:vAlign w:val="center"/>
            <w:hideMark/>
          </w:tcPr>
          <w:p w14:paraId="300E7559" w14:textId="77777777"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900" w:type="dxa"/>
            <w:vMerge/>
            <w:shd w:val="clear" w:color="auto" w:fill="1F497D" w:themeFill="text2"/>
            <w:vAlign w:val="center"/>
            <w:hideMark/>
          </w:tcPr>
          <w:p w14:paraId="35B8A901" w14:textId="24786FA4"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c>
          <w:tcPr>
            <w:tcW w:w="1171" w:type="dxa"/>
            <w:vMerge/>
            <w:shd w:val="clear" w:color="auto" w:fill="1F497D" w:themeFill="text2"/>
            <w:vAlign w:val="center"/>
            <w:hideMark/>
          </w:tcPr>
          <w:p w14:paraId="083864C2" w14:textId="77777777" w:rsidR="00B92D73" w:rsidRPr="00610759" w:rsidRDefault="00B92D73" w:rsidP="002B58CC">
            <w:pPr>
              <w:pStyle w:val="NICEnormal"/>
              <w:spacing w:before="100" w:beforeAutospacing="1" w:after="0" w:line="240" w:lineRule="auto"/>
              <w:contextualSpacing/>
              <w:rPr>
                <w:rFonts w:ascii="Times New Roman" w:hAnsi="Times New Roman"/>
                <w:b/>
                <w:bCs/>
                <w:color w:val="FFFFFF" w:themeColor="background1"/>
                <w:sz w:val="14"/>
                <w:szCs w:val="14"/>
                <w:lang w:val="en-US"/>
              </w:rPr>
            </w:pPr>
          </w:p>
        </w:tc>
      </w:tr>
      <w:tr w:rsidR="00EF588B" w:rsidRPr="00610759" w14:paraId="42740012" w14:textId="77777777" w:rsidTr="00402413">
        <w:trPr>
          <w:trHeight w:val="198"/>
        </w:trPr>
        <w:tc>
          <w:tcPr>
            <w:tcW w:w="899" w:type="dxa"/>
            <w:shd w:val="clear" w:color="auto" w:fill="auto"/>
            <w:noWrap/>
            <w:vAlign w:val="center"/>
            <w:hideMark/>
          </w:tcPr>
          <w:p w14:paraId="5CF8EB5B"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w:t>
            </w:r>
          </w:p>
        </w:tc>
        <w:tc>
          <w:tcPr>
            <w:tcW w:w="1620" w:type="dxa"/>
            <w:shd w:val="clear" w:color="auto" w:fill="auto"/>
            <w:noWrap/>
            <w:vAlign w:val="center"/>
            <w:hideMark/>
          </w:tcPr>
          <w:p w14:paraId="5469F47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 xml:space="preserve">Diclofenac 100 mg </w:t>
            </w:r>
          </w:p>
        </w:tc>
        <w:tc>
          <w:tcPr>
            <w:tcW w:w="630" w:type="dxa"/>
            <w:shd w:val="clear" w:color="auto" w:fill="auto"/>
            <w:noWrap/>
            <w:vAlign w:val="center"/>
          </w:tcPr>
          <w:p w14:paraId="7FD4ADC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44</w:t>
            </w:r>
          </w:p>
        </w:tc>
        <w:tc>
          <w:tcPr>
            <w:tcW w:w="900" w:type="dxa"/>
            <w:shd w:val="clear" w:color="auto" w:fill="auto"/>
            <w:noWrap/>
            <w:vAlign w:val="center"/>
          </w:tcPr>
          <w:p w14:paraId="1D1CAE9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810" w:type="dxa"/>
            <w:shd w:val="clear" w:color="auto" w:fill="auto"/>
            <w:noWrap/>
            <w:vAlign w:val="center"/>
          </w:tcPr>
          <w:p w14:paraId="7062F9AC" w14:textId="1A509656"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38</w:t>
            </w:r>
          </w:p>
        </w:tc>
        <w:tc>
          <w:tcPr>
            <w:tcW w:w="720" w:type="dxa"/>
            <w:shd w:val="clear" w:color="auto" w:fill="auto"/>
            <w:noWrap/>
            <w:vAlign w:val="center"/>
          </w:tcPr>
          <w:p w14:paraId="20113060" w14:textId="4057FFB3"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0</w:t>
            </w:r>
          </w:p>
        </w:tc>
        <w:tc>
          <w:tcPr>
            <w:tcW w:w="900" w:type="dxa"/>
            <w:shd w:val="clear" w:color="auto" w:fill="auto"/>
            <w:noWrap/>
            <w:vAlign w:val="center"/>
          </w:tcPr>
          <w:p w14:paraId="4E799423" w14:textId="3B8BBD63"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100</w:t>
            </w:r>
          </w:p>
        </w:tc>
        <w:tc>
          <w:tcPr>
            <w:tcW w:w="1080" w:type="dxa"/>
            <w:shd w:val="clear" w:color="auto" w:fill="auto"/>
            <w:noWrap/>
            <w:vAlign w:val="center"/>
          </w:tcPr>
          <w:p w14:paraId="2934E49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6D31976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auto"/>
            <w:noWrap/>
            <w:vAlign w:val="center"/>
          </w:tcPr>
          <w:p w14:paraId="228AD0AB" w14:textId="3D12DCA9"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39</w:t>
            </w:r>
          </w:p>
        </w:tc>
      </w:tr>
      <w:tr w:rsidR="00EF588B" w:rsidRPr="00610759" w14:paraId="6C8F3819" w14:textId="77777777" w:rsidTr="00402413">
        <w:trPr>
          <w:trHeight w:val="198"/>
        </w:trPr>
        <w:tc>
          <w:tcPr>
            <w:tcW w:w="899" w:type="dxa"/>
            <w:shd w:val="clear" w:color="auto" w:fill="auto"/>
            <w:noWrap/>
            <w:vAlign w:val="center"/>
            <w:hideMark/>
          </w:tcPr>
          <w:p w14:paraId="7733851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auto"/>
            <w:noWrap/>
            <w:vAlign w:val="center"/>
            <w:hideMark/>
          </w:tcPr>
          <w:p w14:paraId="0E86637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 mg</w:t>
            </w:r>
          </w:p>
        </w:tc>
        <w:tc>
          <w:tcPr>
            <w:tcW w:w="630" w:type="dxa"/>
            <w:shd w:val="clear" w:color="auto" w:fill="auto"/>
            <w:noWrap/>
            <w:vAlign w:val="center"/>
          </w:tcPr>
          <w:p w14:paraId="54A242B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43</w:t>
            </w:r>
          </w:p>
        </w:tc>
        <w:tc>
          <w:tcPr>
            <w:tcW w:w="900" w:type="dxa"/>
            <w:shd w:val="clear" w:color="auto" w:fill="auto"/>
            <w:noWrap/>
            <w:vAlign w:val="center"/>
          </w:tcPr>
          <w:p w14:paraId="6FE63DB2"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810" w:type="dxa"/>
            <w:shd w:val="clear" w:color="auto" w:fill="auto"/>
            <w:noWrap/>
            <w:vAlign w:val="center"/>
          </w:tcPr>
          <w:p w14:paraId="6ED9BFFC" w14:textId="534856AB"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27</w:t>
            </w:r>
          </w:p>
        </w:tc>
        <w:tc>
          <w:tcPr>
            <w:tcW w:w="720" w:type="dxa"/>
            <w:shd w:val="clear" w:color="auto" w:fill="auto"/>
            <w:noWrap/>
            <w:vAlign w:val="center"/>
          </w:tcPr>
          <w:p w14:paraId="32A71D29" w14:textId="1A7F5D8E"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0</w:t>
            </w:r>
          </w:p>
        </w:tc>
        <w:tc>
          <w:tcPr>
            <w:tcW w:w="900" w:type="dxa"/>
            <w:shd w:val="clear" w:color="auto" w:fill="auto"/>
            <w:noWrap/>
            <w:vAlign w:val="center"/>
          </w:tcPr>
          <w:p w14:paraId="5016760D" w14:textId="000FB605"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100</w:t>
            </w:r>
          </w:p>
        </w:tc>
        <w:tc>
          <w:tcPr>
            <w:tcW w:w="1080" w:type="dxa"/>
            <w:shd w:val="clear" w:color="auto" w:fill="auto"/>
            <w:noWrap/>
            <w:vAlign w:val="center"/>
          </w:tcPr>
          <w:p w14:paraId="08BBA77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22154D4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auto"/>
            <w:noWrap/>
            <w:vAlign w:val="center"/>
          </w:tcPr>
          <w:p w14:paraId="2642D26C" w14:textId="0A85762A"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42</w:t>
            </w:r>
          </w:p>
        </w:tc>
      </w:tr>
      <w:tr w:rsidR="00EF588B" w:rsidRPr="00610759" w14:paraId="6A1CED3C" w14:textId="77777777" w:rsidTr="00402413">
        <w:trPr>
          <w:trHeight w:val="198"/>
        </w:trPr>
        <w:tc>
          <w:tcPr>
            <w:tcW w:w="899" w:type="dxa"/>
            <w:shd w:val="clear" w:color="auto" w:fill="DBE5F1" w:themeFill="accent1" w:themeFillTint="33"/>
            <w:noWrap/>
            <w:vAlign w:val="center"/>
          </w:tcPr>
          <w:p w14:paraId="4D680022"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w:t>
            </w:r>
          </w:p>
        </w:tc>
        <w:tc>
          <w:tcPr>
            <w:tcW w:w="1620" w:type="dxa"/>
            <w:shd w:val="clear" w:color="auto" w:fill="DBE5F1" w:themeFill="accent1" w:themeFillTint="33"/>
            <w:noWrap/>
            <w:vAlign w:val="center"/>
          </w:tcPr>
          <w:p w14:paraId="29D9E54E" w14:textId="2FB0719F"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w:t>
            </w:r>
            <w:r w:rsidR="000A3DCD">
              <w:rPr>
                <w:rFonts w:ascii="Times New Roman" w:hAnsi="Times New Roman"/>
                <w:color w:val="000000"/>
                <w:sz w:val="14"/>
                <w:szCs w:val="14"/>
                <w:lang w:val="en-US" w:eastAsia="en-US"/>
              </w:rPr>
              <w:t>l</w:t>
            </w:r>
            <w:r w:rsidRPr="00610759">
              <w:rPr>
                <w:rFonts w:ascii="Times New Roman" w:hAnsi="Times New Roman"/>
                <w:color w:val="000000"/>
                <w:sz w:val="14"/>
                <w:szCs w:val="14"/>
                <w:lang w:val="en-US" w:eastAsia="en-US"/>
              </w:rPr>
              <w:t>ofenac 75 mg</w:t>
            </w:r>
          </w:p>
        </w:tc>
        <w:tc>
          <w:tcPr>
            <w:tcW w:w="630" w:type="dxa"/>
            <w:shd w:val="clear" w:color="auto" w:fill="DBE5F1" w:themeFill="accent1" w:themeFillTint="33"/>
            <w:noWrap/>
            <w:vAlign w:val="center"/>
          </w:tcPr>
          <w:p w14:paraId="273EA9B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85</w:t>
            </w:r>
          </w:p>
        </w:tc>
        <w:tc>
          <w:tcPr>
            <w:tcW w:w="900" w:type="dxa"/>
            <w:shd w:val="clear" w:color="auto" w:fill="DBE5F1" w:themeFill="accent1" w:themeFillTint="33"/>
            <w:noWrap/>
            <w:vAlign w:val="center"/>
          </w:tcPr>
          <w:p w14:paraId="2A01BD2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63</w:t>
            </w:r>
          </w:p>
        </w:tc>
        <w:tc>
          <w:tcPr>
            <w:tcW w:w="810" w:type="dxa"/>
            <w:shd w:val="clear" w:color="auto" w:fill="DBE5F1" w:themeFill="accent1" w:themeFillTint="33"/>
            <w:noWrap/>
            <w:vAlign w:val="center"/>
          </w:tcPr>
          <w:p w14:paraId="1FC25BAF" w14:textId="245C9F2D"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31</w:t>
            </w:r>
          </w:p>
        </w:tc>
        <w:tc>
          <w:tcPr>
            <w:tcW w:w="720" w:type="dxa"/>
            <w:shd w:val="clear" w:color="auto" w:fill="DBE5F1" w:themeFill="accent1" w:themeFillTint="33"/>
            <w:noWrap/>
            <w:vAlign w:val="center"/>
          </w:tcPr>
          <w:p w14:paraId="7E440C3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1396347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0467649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0D8BBB6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DBE5F1" w:themeFill="accent1" w:themeFillTint="33"/>
            <w:noWrap/>
            <w:vAlign w:val="center"/>
          </w:tcPr>
          <w:p w14:paraId="44A0DBCC" w14:textId="1D24094C"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24</w:t>
            </w:r>
          </w:p>
        </w:tc>
      </w:tr>
      <w:tr w:rsidR="00EF588B" w:rsidRPr="00610759" w14:paraId="40153C30" w14:textId="77777777" w:rsidTr="00402413">
        <w:trPr>
          <w:trHeight w:val="198"/>
        </w:trPr>
        <w:tc>
          <w:tcPr>
            <w:tcW w:w="899" w:type="dxa"/>
            <w:shd w:val="clear" w:color="auto" w:fill="DBE5F1" w:themeFill="accent1" w:themeFillTint="33"/>
            <w:noWrap/>
            <w:vAlign w:val="center"/>
          </w:tcPr>
          <w:p w14:paraId="72C6059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DBE5F1" w:themeFill="accent1" w:themeFillTint="33"/>
            <w:noWrap/>
            <w:vAlign w:val="center"/>
          </w:tcPr>
          <w:p w14:paraId="31D24AAD" w14:textId="1F03A2A0"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w:t>
            </w:r>
            <w:r w:rsidR="000A3DCD">
              <w:rPr>
                <w:rFonts w:ascii="Times New Roman" w:hAnsi="Times New Roman"/>
                <w:color w:val="000000"/>
                <w:sz w:val="14"/>
                <w:szCs w:val="14"/>
                <w:lang w:val="en-US" w:eastAsia="en-US"/>
              </w:rPr>
              <w:t>l</w:t>
            </w:r>
            <w:r w:rsidRPr="00610759">
              <w:rPr>
                <w:rFonts w:ascii="Times New Roman" w:hAnsi="Times New Roman"/>
                <w:color w:val="000000"/>
                <w:sz w:val="14"/>
                <w:szCs w:val="14"/>
                <w:lang w:val="en-US" w:eastAsia="en-US"/>
              </w:rPr>
              <w:t>ofenac 75 mg</w:t>
            </w:r>
          </w:p>
        </w:tc>
        <w:tc>
          <w:tcPr>
            <w:tcW w:w="630" w:type="dxa"/>
            <w:shd w:val="clear" w:color="auto" w:fill="DBE5F1" w:themeFill="accent1" w:themeFillTint="33"/>
            <w:noWrap/>
            <w:vAlign w:val="center"/>
          </w:tcPr>
          <w:p w14:paraId="6B87A56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83</w:t>
            </w:r>
          </w:p>
        </w:tc>
        <w:tc>
          <w:tcPr>
            <w:tcW w:w="900" w:type="dxa"/>
            <w:shd w:val="clear" w:color="auto" w:fill="DBE5F1" w:themeFill="accent1" w:themeFillTint="33"/>
            <w:noWrap/>
            <w:vAlign w:val="center"/>
          </w:tcPr>
          <w:p w14:paraId="4DE0BF4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64</w:t>
            </w:r>
          </w:p>
        </w:tc>
        <w:tc>
          <w:tcPr>
            <w:tcW w:w="810" w:type="dxa"/>
            <w:shd w:val="clear" w:color="auto" w:fill="DBE5F1" w:themeFill="accent1" w:themeFillTint="33"/>
            <w:noWrap/>
            <w:vAlign w:val="center"/>
          </w:tcPr>
          <w:p w14:paraId="4217BC06" w14:textId="68AA546F"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35</w:t>
            </w:r>
          </w:p>
        </w:tc>
        <w:tc>
          <w:tcPr>
            <w:tcW w:w="720" w:type="dxa"/>
            <w:shd w:val="clear" w:color="auto" w:fill="DBE5F1" w:themeFill="accent1" w:themeFillTint="33"/>
            <w:noWrap/>
            <w:vAlign w:val="center"/>
          </w:tcPr>
          <w:p w14:paraId="2394FDD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25DBA5E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76798076"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2E422960"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DBE5F1" w:themeFill="accent1" w:themeFillTint="33"/>
            <w:noWrap/>
            <w:vAlign w:val="center"/>
          </w:tcPr>
          <w:p w14:paraId="3B3A211D" w14:textId="77D0B7B1"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18</w:t>
            </w:r>
          </w:p>
        </w:tc>
      </w:tr>
      <w:tr w:rsidR="00EF588B" w:rsidRPr="00610759" w14:paraId="794238A9" w14:textId="77777777" w:rsidTr="00402413">
        <w:trPr>
          <w:trHeight w:val="198"/>
        </w:trPr>
        <w:tc>
          <w:tcPr>
            <w:tcW w:w="899" w:type="dxa"/>
            <w:shd w:val="clear" w:color="auto" w:fill="auto"/>
            <w:noWrap/>
            <w:vAlign w:val="center"/>
          </w:tcPr>
          <w:p w14:paraId="09B2D170"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w:t>
            </w:r>
          </w:p>
        </w:tc>
        <w:tc>
          <w:tcPr>
            <w:tcW w:w="1620" w:type="dxa"/>
            <w:shd w:val="clear" w:color="auto" w:fill="auto"/>
            <w:noWrap/>
            <w:vAlign w:val="center"/>
          </w:tcPr>
          <w:p w14:paraId="2C195A8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auto"/>
            <w:noWrap/>
            <w:vAlign w:val="center"/>
          </w:tcPr>
          <w:p w14:paraId="63B3BB2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81</w:t>
            </w:r>
          </w:p>
        </w:tc>
        <w:tc>
          <w:tcPr>
            <w:tcW w:w="900" w:type="dxa"/>
            <w:shd w:val="clear" w:color="auto" w:fill="auto"/>
            <w:noWrap/>
            <w:vAlign w:val="center"/>
          </w:tcPr>
          <w:p w14:paraId="011F782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58</w:t>
            </w:r>
          </w:p>
        </w:tc>
        <w:tc>
          <w:tcPr>
            <w:tcW w:w="810" w:type="dxa"/>
            <w:shd w:val="clear" w:color="auto" w:fill="auto"/>
            <w:noWrap/>
            <w:vAlign w:val="center"/>
          </w:tcPr>
          <w:p w14:paraId="2F5201E2" w14:textId="743DDFE3"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38</w:t>
            </w:r>
          </w:p>
        </w:tc>
        <w:tc>
          <w:tcPr>
            <w:tcW w:w="720" w:type="dxa"/>
            <w:shd w:val="clear" w:color="auto" w:fill="auto"/>
            <w:noWrap/>
            <w:vAlign w:val="center"/>
          </w:tcPr>
          <w:p w14:paraId="781F030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58C43DA2"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auto"/>
            <w:noWrap/>
            <w:vAlign w:val="center"/>
          </w:tcPr>
          <w:p w14:paraId="7B7D4B7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10C5D9D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auto"/>
            <w:noWrap/>
            <w:vAlign w:val="center"/>
          </w:tcPr>
          <w:p w14:paraId="11440360" w14:textId="1E59D86E"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19</w:t>
            </w:r>
          </w:p>
        </w:tc>
      </w:tr>
      <w:tr w:rsidR="00EF588B" w:rsidRPr="00610759" w14:paraId="3410D88A" w14:textId="77777777" w:rsidTr="00402413">
        <w:trPr>
          <w:trHeight w:val="198"/>
        </w:trPr>
        <w:tc>
          <w:tcPr>
            <w:tcW w:w="899" w:type="dxa"/>
            <w:shd w:val="clear" w:color="auto" w:fill="auto"/>
            <w:noWrap/>
            <w:vAlign w:val="center"/>
          </w:tcPr>
          <w:p w14:paraId="7C84B3D6"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auto"/>
            <w:noWrap/>
            <w:vAlign w:val="center"/>
          </w:tcPr>
          <w:p w14:paraId="09F4101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auto"/>
            <w:noWrap/>
            <w:vAlign w:val="center"/>
          </w:tcPr>
          <w:p w14:paraId="731A9CE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84</w:t>
            </w:r>
          </w:p>
        </w:tc>
        <w:tc>
          <w:tcPr>
            <w:tcW w:w="900" w:type="dxa"/>
            <w:shd w:val="clear" w:color="auto" w:fill="auto"/>
            <w:noWrap/>
            <w:vAlign w:val="center"/>
          </w:tcPr>
          <w:p w14:paraId="5F02DDA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57</w:t>
            </w:r>
          </w:p>
        </w:tc>
        <w:tc>
          <w:tcPr>
            <w:tcW w:w="810" w:type="dxa"/>
            <w:shd w:val="clear" w:color="auto" w:fill="auto"/>
            <w:noWrap/>
            <w:vAlign w:val="center"/>
          </w:tcPr>
          <w:p w14:paraId="0BFE3A4B" w14:textId="44EDEC33"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42</w:t>
            </w:r>
          </w:p>
        </w:tc>
        <w:tc>
          <w:tcPr>
            <w:tcW w:w="720" w:type="dxa"/>
            <w:shd w:val="clear" w:color="auto" w:fill="auto"/>
            <w:noWrap/>
            <w:vAlign w:val="center"/>
          </w:tcPr>
          <w:p w14:paraId="330F14E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64A2C57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auto"/>
            <w:noWrap/>
            <w:vAlign w:val="center"/>
          </w:tcPr>
          <w:p w14:paraId="537DC88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1B83F27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auto"/>
            <w:noWrap/>
            <w:vAlign w:val="center"/>
          </w:tcPr>
          <w:p w14:paraId="2FFA6566" w14:textId="4BB5F3E1"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23</w:t>
            </w:r>
          </w:p>
        </w:tc>
      </w:tr>
      <w:tr w:rsidR="00EF588B" w:rsidRPr="00610759" w14:paraId="4948541E" w14:textId="77777777" w:rsidTr="00402413">
        <w:trPr>
          <w:trHeight w:val="198"/>
        </w:trPr>
        <w:tc>
          <w:tcPr>
            <w:tcW w:w="899" w:type="dxa"/>
            <w:shd w:val="clear" w:color="auto" w:fill="DBE5F1" w:themeFill="accent1" w:themeFillTint="33"/>
            <w:noWrap/>
            <w:vAlign w:val="center"/>
          </w:tcPr>
          <w:p w14:paraId="055001D9"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w:t>
            </w:r>
          </w:p>
        </w:tc>
        <w:tc>
          <w:tcPr>
            <w:tcW w:w="1620" w:type="dxa"/>
            <w:shd w:val="clear" w:color="auto" w:fill="DBE5F1" w:themeFill="accent1" w:themeFillTint="33"/>
            <w:noWrap/>
            <w:vAlign w:val="center"/>
          </w:tcPr>
          <w:p w14:paraId="6963A1E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100/150 mg</w:t>
            </w:r>
          </w:p>
        </w:tc>
        <w:tc>
          <w:tcPr>
            <w:tcW w:w="630" w:type="dxa"/>
            <w:shd w:val="clear" w:color="auto" w:fill="DBE5F1" w:themeFill="accent1" w:themeFillTint="33"/>
            <w:noWrap/>
            <w:vAlign w:val="center"/>
          </w:tcPr>
          <w:p w14:paraId="2E46B3A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78</w:t>
            </w:r>
          </w:p>
        </w:tc>
        <w:tc>
          <w:tcPr>
            <w:tcW w:w="900" w:type="dxa"/>
            <w:shd w:val="clear" w:color="auto" w:fill="DBE5F1" w:themeFill="accent1" w:themeFillTint="33"/>
            <w:noWrap/>
            <w:vAlign w:val="center"/>
          </w:tcPr>
          <w:p w14:paraId="6966988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61</w:t>
            </w:r>
          </w:p>
        </w:tc>
        <w:tc>
          <w:tcPr>
            <w:tcW w:w="810" w:type="dxa"/>
            <w:shd w:val="clear" w:color="auto" w:fill="DBE5F1" w:themeFill="accent1" w:themeFillTint="33"/>
            <w:noWrap/>
            <w:vAlign w:val="center"/>
          </w:tcPr>
          <w:p w14:paraId="1FF68036" w14:textId="5916B99E"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39</w:t>
            </w:r>
          </w:p>
        </w:tc>
        <w:tc>
          <w:tcPr>
            <w:tcW w:w="720" w:type="dxa"/>
            <w:shd w:val="clear" w:color="auto" w:fill="DBE5F1" w:themeFill="accent1" w:themeFillTint="33"/>
            <w:noWrap/>
            <w:vAlign w:val="center"/>
          </w:tcPr>
          <w:p w14:paraId="4EA1532F" w14:textId="0A2B3CA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100</w:t>
            </w:r>
          </w:p>
        </w:tc>
        <w:tc>
          <w:tcPr>
            <w:tcW w:w="900" w:type="dxa"/>
            <w:shd w:val="clear" w:color="auto" w:fill="DBE5F1" w:themeFill="accent1" w:themeFillTint="33"/>
            <w:noWrap/>
            <w:vAlign w:val="center"/>
          </w:tcPr>
          <w:p w14:paraId="1E011B6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2B85E6E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7.5</w:t>
            </w:r>
          </w:p>
        </w:tc>
        <w:tc>
          <w:tcPr>
            <w:tcW w:w="900" w:type="dxa"/>
            <w:shd w:val="clear" w:color="auto" w:fill="DBE5F1" w:themeFill="accent1" w:themeFillTint="33"/>
            <w:noWrap/>
            <w:vAlign w:val="center"/>
          </w:tcPr>
          <w:p w14:paraId="4AF848F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32142125" w14:textId="60A24174"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24</w:t>
            </w:r>
          </w:p>
        </w:tc>
      </w:tr>
      <w:tr w:rsidR="00EF588B" w:rsidRPr="00610759" w14:paraId="43234A85" w14:textId="77777777" w:rsidTr="00402413">
        <w:trPr>
          <w:trHeight w:val="198"/>
        </w:trPr>
        <w:tc>
          <w:tcPr>
            <w:tcW w:w="899" w:type="dxa"/>
            <w:shd w:val="clear" w:color="auto" w:fill="DBE5F1" w:themeFill="accent1" w:themeFillTint="33"/>
            <w:noWrap/>
            <w:vAlign w:val="center"/>
          </w:tcPr>
          <w:p w14:paraId="76CFEE4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DBE5F1" w:themeFill="accent1" w:themeFillTint="33"/>
            <w:noWrap/>
            <w:vAlign w:val="center"/>
          </w:tcPr>
          <w:p w14:paraId="21F4B212"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Aspirin 2400/3600 mg</w:t>
            </w:r>
          </w:p>
        </w:tc>
        <w:tc>
          <w:tcPr>
            <w:tcW w:w="630" w:type="dxa"/>
            <w:shd w:val="clear" w:color="auto" w:fill="DBE5F1" w:themeFill="accent1" w:themeFillTint="33"/>
            <w:noWrap/>
            <w:vAlign w:val="center"/>
          </w:tcPr>
          <w:p w14:paraId="436030A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78</w:t>
            </w:r>
          </w:p>
        </w:tc>
        <w:tc>
          <w:tcPr>
            <w:tcW w:w="900" w:type="dxa"/>
            <w:shd w:val="clear" w:color="auto" w:fill="DBE5F1" w:themeFill="accent1" w:themeFillTint="33"/>
            <w:noWrap/>
            <w:vAlign w:val="center"/>
          </w:tcPr>
          <w:p w14:paraId="5C3882B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62</w:t>
            </w:r>
          </w:p>
        </w:tc>
        <w:tc>
          <w:tcPr>
            <w:tcW w:w="810" w:type="dxa"/>
            <w:shd w:val="clear" w:color="auto" w:fill="DBE5F1" w:themeFill="accent1" w:themeFillTint="33"/>
            <w:noWrap/>
            <w:vAlign w:val="center"/>
          </w:tcPr>
          <w:p w14:paraId="7EFC6C57" w14:textId="2535B1CC"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36</w:t>
            </w:r>
          </w:p>
        </w:tc>
        <w:tc>
          <w:tcPr>
            <w:tcW w:w="720" w:type="dxa"/>
            <w:shd w:val="clear" w:color="auto" w:fill="DBE5F1" w:themeFill="accent1" w:themeFillTint="33"/>
            <w:noWrap/>
            <w:vAlign w:val="center"/>
          </w:tcPr>
          <w:p w14:paraId="34D54416" w14:textId="0AFD8FBB"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100</w:t>
            </w:r>
          </w:p>
        </w:tc>
        <w:tc>
          <w:tcPr>
            <w:tcW w:w="900" w:type="dxa"/>
            <w:shd w:val="clear" w:color="auto" w:fill="DBE5F1" w:themeFill="accent1" w:themeFillTint="33"/>
            <w:noWrap/>
            <w:vAlign w:val="center"/>
          </w:tcPr>
          <w:p w14:paraId="74A1CAD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7DEFABE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7.3</w:t>
            </w:r>
          </w:p>
        </w:tc>
        <w:tc>
          <w:tcPr>
            <w:tcW w:w="900" w:type="dxa"/>
            <w:shd w:val="clear" w:color="auto" w:fill="DBE5F1" w:themeFill="accent1" w:themeFillTint="33"/>
            <w:noWrap/>
            <w:vAlign w:val="center"/>
          </w:tcPr>
          <w:p w14:paraId="6EA31C20"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027AFC07" w14:textId="53182723"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36</w:t>
            </w:r>
          </w:p>
        </w:tc>
      </w:tr>
      <w:tr w:rsidR="00EF588B" w:rsidRPr="00610759" w14:paraId="3639BAAE" w14:textId="77777777" w:rsidTr="00402413">
        <w:trPr>
          <w:trHeight w:val="198"/>
        </w:trPr>
        <w:tc>
          <w:tcPr>
            <w:tcW w:w="899" w:type="dxa"/>
            <w:shd w:val="clear" w:color="auto" w:fill="auto"/>
            <w:noWrap/>
            <w:vAlign w:val="center"/>
          </w:tcPr>
          <w:p w14:paraId="3BEEB014"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w:t>
            </w:r>
          </w:p>
        </w:tc>
        <w:tc>
          <w:tcPr>
            <w:tcW w:w="1620" w:type="dxa"/>
            <w:shd w:val="clear" w:color="auto" w:fill="auto"/>
            <w:noWrap/>
            <w:vAlign w:val="center"/>
          </w:tcPr>
          <w:p w14:paraId="4EE5BEF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100/150 mg</w:t>
            </w:r>
          </w:p>
        </w:tc>
        <w:tc>
          <w:tcPr>
            <w:tcW w:w="630" w:type="dxa"/>
            <w:shd w:val="clear" w:color="auto" w:fill="auto"/>
            <w:noWrap/>
            <w:vAlign w:val="center"/>
          </w:tcPr>
          <w:p w14:paraId="5EDCD3F0"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188</w:t>
            </w:r>
          </w:p>
        </w:tc>
        <w:tc>
          <w:tcPr>
            <w:tcW w:w="900" w:type="dxa"/>
            <w:shd w:val="clear" w:color="auto" w:fill="auto"/>
            <w:noWrap/>
            <w:vAlign w:val="center"/>
          </w:tcPr>
          <w:p w14:paraId="58BB8AD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63</w:t>
            </w:r>
          </w:p>
        </w:tc>
        <w:tc>
          <w:tcPr>
            <w:tcW w:w="810" w:type="dxa"/>
            <w:shd w:val="clear" w:color="auto" w:fill="auto"/>
            <w:noWrap/>
            <w:vAlign w:val="center"/>
          </w:tcPr>
          <w:p w14:paraId="2DC9F5C1" w14:textId="53C569EF"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24</w:t>
            </w:r>
          </w:p>
        </w:tc>
        <w:tc>
          <w:tcPr>
            <w:tcW w:w="720" w:type="dxa"/>
            <w:shd w:val="clear" w:color="auto" w:fill="auto"/>
            <w:noWrap/>
            <w:vAlign w:val="center"/>
          </w:tcPr>
          <w:p w14:paraId="37E5C7E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0533AEA3" w14:textId="01E07E9C"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100</w:t>
            </w:r>
          </w:p>
        </w:tc>
        <w:tc>
          <w:tcPr>
            <w:tcW w:w="1080" w:type="dxa"/>
            <w:shd w:val="clear" w:color="auto" w:fill="auto"/>
            <w:noWrap/>
            <w:vAlign w:val="center"/>
          </w:tcPr>
          <w:p w14:paraId="2ABF470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7.9</w:t>
            </w:r>
          </w:p>
        </w:tc>
        <w:tc>
          <w:tcPr>
            <w:tcW w:w="900" w:type="dxa"/>
            <w:shd w:val="clear" w:color="auto" w:fill="auto"/>
            <w:noWrap/>
            <w:vAlign w:val="center"/>
          </w:tcPr>
          <w:p w14:paraId="0714D101"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auto"/>
            <w:noWrap/>
            <w:vAlign w:val="center"/>
          </w:tcPr>
          <w:p w14:paraId="44A2D7B3" w14:textId="189CD15A"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22</w:t>
            </w:r>
          </w:p>
        </w:tc>
      </w:tr>
      <w:tr w:rsidR="00EF588B" w:rsidRPr="00610759" w14:paraId="1DD53FF8" w14:textId="77777777" w:rsidTr="00402413">
        <w:trPr>
          <w:trHeight w:val="198"/>
        </w:trPr>
        <w:tc>
          <w:tcPr>
            <w:tcW w:w="899" w:type="dxa"/>
            <w:shd w:val="clear" w:color="auto" w:fill="auto"/>
            <w:noWrap/>
            <w:vAlign w:val="center"/>
          </w:tcPr>
          <w:p w14:paraId="5FBB781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auto"/>
            <w:noWrap/>
            <w:vAlign w:val="center"/>
          </w:tcPr>
          <w:p w14:paraId="35FA936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Aspirin 2400/3600 mg</w:t>
            </w:r>
          </w:p>
        </w:tc>
        <w:tc>
          <w:tcPr>
            <w:tcW w:w="630" w:type="dxa"/>
            <w:shd w:val="clear" w:color="auto" w:fill="auto"/>
            <w:noWrap/>
            <w:vAlign w:val="center"/>
          </w:tcPr>
          <w:p w14:paraId="68F66F3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187</w:t>
            </w:r>
          </w:p>
        </w:tc>
        <w:tc>
          <w:tcPr>
            <w:tcW w:w="900" w:type="dxa"/>
            <w:shd w:val="clear" w:color="auto" w:fill="auto"/>
            <w:noWrap/>
            <w:vAlign w:val="center"/>
          </w:tcPr>
          <w:p w14:paraId="5116BBF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62</w:t>
            </w:r>
          </w:p>
        </w:tc>
        <w:tc>
          <w:tcPr>
            <w:tcW w:w="810" w:type="dxa"/>
            <w:shd w:val="clear" w:color="auto" w:fill="auto"/>
            <w:noWrap/>
            <w:vAlign w:val="center"/>
          </w:tcPr>
          <w:p w14:paraId="703705FE" w14:textId="12046DE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28</w:t>
            </w:r>
          </w:p>
        </w:tc>
        <w:tc>
          <w:tcPr>
            <w:tcW w:w="720" w:type="dxa"/>
            <w:shd w:val="clear" w:color="auto" w:fill="auto"/>
            <w:noWrap/>
            <w:vAlign w:val="center"/>
          </w:tcPr>
          <w:p w14:paraId="09EDD1B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0394323B" w14:textId="30BDF158"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100</w:t>
            </w:r>
          </w:p>
        </w:tc>
        <w:tc>
          <w:tcPr>
            <w:tcW w:w="1080" w:type="dxa"/>
            <w:shd w:val="clear" w:color="auto" w:fill="auto"/>
            <w:noWrap/>
            <w:vAlign w:val="center"/>
          </w:tcPr>
          <w:p w14:paraId="6757AA7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9.6</w:t>
            </w:r>
          </w:p>
        </w:tc>
        <w:tc>
          <w:tcPr>
            <w:tcW w:w="900" w:type="dxa"/>
            <w:shd w:val="clear" w:color="auto" w:fill="auto"/>
            <w:noWrap/>
            <w:vAlign w:val="center"/>
          </w:tcPr>
          <w:p w14:paraId="2934924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auto"/>
            <w:noWrap/>
            <w:vAlign w:val="center"/>
          </w:tcPr>
          <w:p w14:paraId="60DD1E03" w14:textId="605ADB52"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33</w:t>
            </w:r>
          </w:p>
        </w:tc>
      </w:tr>
      <w:tr w:rsidR="00EF588B" w:rsidRPr="00610759" w14:paraId="2AF8BEF5" w14:textId="77777777" w:rsidTr="00402413">
        <w:trPr>
          <w:trHeight w:val="198"/>
        </w:trPr>
        <w:tc>
          <w:tcPr>
            <w:tcW w:w="899" w:type="dxa"/>
            <w:shd w:val="clear" w:color="auto" w:fill="DBE5F1" w:themeFill="accent1" w:themeFillTint="33"/>
            <w:noWrap/>
            <w:vAlign w:val="center"/>
          </w:tcPr>
          <w:p w14:paraId="1903CFA2"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w:t>
            </w:r>
          </w:p>
        </w:tc>
        <w:tc>
          <w:tcPr>
            <w:tcW w:w="1620" w:type="dxa"/>
            <w:shd w:val="clear" w:color="auto" w:fill="DBE5F1" w:themeFill="accent1" w:themeFillTint="33"/>
            <w:noWrap/>
            <w:vAlign w:val="center"/>
          </w:tcPr>
          <w:p w14:paraId="424138B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DBE5F1" w:themeFill="accent1" w:themeFillTint="33"/>
            <w:noWrap/>
            <w:vAlign w:val="center"/>
          </w:tcPr>
          <w:p w14:paraId="5B29AD8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67</w:t>
            </w:r>
          </w:p>
        </w:tc>
        <w:tc>
          <w:tcPr>
            <w:tcW w:w="900" w:type="dxa"/>
            <w:shd w:val="clear" w:color="auto" w:fill="DBE5F1" w:themeFill="accent1" w:themeFillTint="33"/>
            <w:noWrap/>
            <w:vAlign w:val="center"/>
          </w:tcPr>
          <w:p w14:paraId="68F3073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58</w:t>
            </w:r>
          </w:p>
        </w:tc>
        <w:tc>
          <w:tcPr>
            <w:tcW w:w="810" w:type="dxa"/>
            <w:shd w:val="clear" w:color="auto" w:fill="DBE5F1" w:themeFill="accent1" w:themeFillTint="33"/>
            <w:noWrap/>
            <w:vAlign w:val="center"/>
          </w:tcPr>
          <w:p w14:paraId="4E685D10" w14:textId="1D2533E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39</w:t>
            </w:r>
          </w:p>
        </w:tc>
        <w:tc>
          <w:tcPr>
            <w:tcW w:w="720" w:type="dxa"/>
            <w:shd w:val="clear" w:color="auto" w:fill="DBE5F1" w:themeFill="accent1" w:themeFillTint="33"/>
            <w:noWrap/>
            <w:vAlign w:val="center"/>
          </w:tcPr>
          <w:p w14:paraId="14C6FC5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30CC558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29FACCE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4.5</w:t>
            </w:r>
          </w:p>
        </w:tc>
        <w:tc>
          <w:tcPr>
            <w:tcW w:w="900" w:type="dxa"/>
            <w:shd w:val="clear" w:color="auto" w:fill="DBE5F1" w:themeFill="accent1" w:themeFillTint="33"/>
            <w:noWrap/>
            <w:vAlign w:val="center"/>
          </w:tcPr>
          <w:p w14:paraId="15947D9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7CA39785" w14:textId="23110E35"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13</w:t>
            </w:r>
          </w:p>
        </w:tc>
      </w:tr>
      <w:tr w:rsidR="00EF588B" w:rsidRPr="00610759" w14:paraId="2FB3D7C6" w14:textId="77777777" w:rsidTr="00402413">
        <w:trPr>
          <w:trHeight w:val="198"/>
        </w:trPr>
        <w:tc>
          <w:tcPr>
            <w:tcW w:w="899" w:type="dxa"/>
            <w:shd w:val="clear" w:color="auto" w:fill="DBE5F1" w:themeFill="accent1" w:themeFillTint="33"/>
            <w:noWrap/>
            <w:vAlign w:val="center"/>
          </w:tcPr>
          <w:p w14:paraId="23C27760"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DBE5F1" w:themeFill="accent1" w:themeFillTint="33"/>
            <w:noWrap/>
            <w:vAlign w:val="center"/>
          </w:tcPr>
          <w:p w14:paraId="766A647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DBE5F1" w:themeFill="accent1" w:themeFillTint="33"/>
            <w:noWrap/>
            <w:vAlign w:val="center"/>
          </w:tcPr>
          <w:p w14:paraId="6A9CBA6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69</w:t>
            </w:r>
          </w:p>
        </w:tc>
        <w:tc>
          <w:tcPr>
            <w:tcW w:w="900" w:type="dxa"/>
            <w:shd w:val="clear" w:color="auto" w:fill="DBE5F1" w:themeFill="accent1" w:themeFillTint="33"/>
            <w:noWrap/>
            <w:vAlign w:val="center"/>
          </w:tcPr>
          <w:p w14:paraId="19A758B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55</w:t>
            </w:r>
          </w:p>
        </w:tc>
        <w:tc>
          <w:tcPr>
            <w:tcW w:w="810" w:type="dxa"/>
            <w:shd w:val="clear" w:color="auto" w:fill="DBE5F1" w:themeFill="accent1" w:themeFillTint="33"/>
            <w:noWrap/>
            <w:vAlign w:val="center"/>
          </w:tcPr>
          <w:p w14:paraId="4403E5EF" w14:textId="44038169"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46</w:t>
            </w:r>
          </w:p>
        </w:tc>
        <w:tc>
          <w:tcPr>
            <w:tcW w:w="720" w:type="dxa"/>
            <w:shd w:val="clear" w:color="auto" w:fill="DBE5F1" w:themeFill="accent1" w:themeFillTint="33"/>
            <w:noWrap/>
            <w:vAlign w:val="center"/>
          </w:tcPr>
          <w:p w14:paraId="6498E02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57DC52A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DBE5F1" w:themeFill="accent1" w:themeFillTint="33"/>
            <w:noWrap/>
            <w:vAlign w:val="center"/>
          </w:tcPr>
          <w:p w14:paraId="3A5C58C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3.5</w:t>
            </w:r>
          </w:p>
        </w:tc>
        <w:tc>
          <w:tcPr>
            <w:tcW w:w="900" w:type="dxa"/>
            <w:shd w:val="clear" w:color="auto" w:fill="DBE5F1" w:themeFill="accent1" w:themeFillTint="33"/>
            <w:noWrap/>
            <w:vAlign w:val="center"/>
          </w:tcPr>
          <w:p w14:paraId="03C7221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097384A1" w14:textId="331761D6"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20</w:t>
            </w:r>
          </w:p>
        </w:tc>
      </w:tr>
      <w:tr w:rsidR="00EF588B" w:rsidRPr="00610759" w14:paraId="42A81993" w14:textId="77777777" w:rsidTr="00402413">
        <w:trPr>
          <w:trHeight w:val="198"/>
        </w:trPr>
        <w:tc>
          <w:tcPr>
            <w:tcW w:w="899" w:type="dxa"/>
            <w:shd w:val="clear" w:color="auto" w:fill="auto"/>
            <w:noWrap/>
            <w:vAlign w:val="center"/>
          </w:tcPr>
          <w:p w14:paraId="2169A51E"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w:t>
            </w:r>
          </w:p>
        </w:tc>
        <w:tc>
          <w:tcPr>
            <w:tcW w:w="1620" w:type="dxa"/>
            <w:shd w:val="clear" w:color="auto" w:fill="auto"/>
            <w:noWrap/>
            <w:vAlign w:val="center"/>
          </w:tcPr>
          <w:p w14:paraId="6CF02FB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auto"/>
            <w:noWrap/>
            <w:vAlign w:val="center"/>
          </w:tcPr>
          <w:p w14:paraId="5564363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62</w:t>
            </w:r>
          </w:p>
        </w:tc>
        <w:tc>
          <w:tcPr>
            <w:tcW w:w="900" w:type="dxa"/>
            <w:shd w:val="clear" w:color="auto" w:fill="auto"/>
            <w:noWrap/>
            <w:vAlign w:val="center"/>
          </w:tcPr>
          <w:p w14:paraId="0080734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63</w:t>
            </w:r>
          </w:p>
        </w:tc>
        <w:tc>
          <w:tcPr>
            <w:tcW w:w="810" w:type="dxa"/>
            <w:shd w:val="clear" w:color="auto" w:fill="auto"/>
            <w:noWrap/>
            <w:vAlign w:val="center"/>
          </w:tcPr>
          <w:p w14:paraId="5AD37DCD" w14:textId="0D8DE79D"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19</w:t>
            </w:r>
          </w:p>
        </w:tc>
        <w:tc>
          <w:tcPr>
            <w:tcW w:w="720" w:type="dxa"/>
            <w:shd w:val="clear" w:color="auto" w:fill="auto"/>
            <w:noWrap/>
            <w:vAlign w:val="center"/>
          </w:tcPr>
          <w:p w14:paraId="7E8E09D8" w14:textId="2B1854BD"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24</w:t>
            </w:r>
          </w:p>
        </w:tc>
        <w:tc>
          <w:tcPr>
            <w:tcW w:w="900" w:type="dxa"/>
            <w:shd w:val="clear" w:color="auto" w:fill="auto"/>
            <w:noWrap/>
            <w:vAlign w:val="center"/>
          </w:tcPr>
          <w:p w14:paraId="2A1CB01C" w14:textId="3A1773B0"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76</w:t>
            </w:r>
          </w:p>
        </w:tc>
        <w:tc>
          <w:tcPr>
            <w:tcW w:w="1080" w:type="dxa"/>
            <w:shd w:val="clear" w:color="auto" w:fill="auto"/>
            <w:noWrap/>
            <w:vAlign w:val="center"/>
          </w:tcPr>
          <w:p w14:paraId="299CF9C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4.4</w:t>
            </w:r>
          </w:p>
        </w:tc>
        <w:tc>
          <w:tcPr>
            <w:tcW w:w="900" w:type="dxa"/>
            <w:shd w:val="clear" w:color="auto" w:fill="auto"/>
            <w:noWrap/>
            <w:vAlign w:val="center"/>
          </w:tcPr>
          <w:p w14:paraId="062694A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auto"/>
            <w:noWrap/>
            <w:vAlign w:val="center"/>
          </w:tcPr>
          <w:p w14:paraId="11213983" w14:textId="6CCA9733"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32</w:t>
            </w:r>
          </w:p>
        </w:tc>
      </w:tr>
      <w:tr w:rsidR="00EF588B" w:rsidRPr="00610759" w14:paraId="354DF7EB" w14:textId="77777777" w:rsidTr="00402413">
        <w:trPr>
          <w:trHeight w:val="198"/>
        </w:trPr>
        <w:tc>
          <w:tcPr>
            <w:tcW w:w="899" w:type="dxa"/>
            <w:shd w:val="clear" w:color="auto" w:fill="auto"/>
            <w:noWrap/>
            <w:vAlign w:val="center"/>
          </w:tcPr>
          <w:p w14:paraId="45EA051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auto"/>
            <w:noWrap/>
            <w:vAlign w:val="center"/>
          </w:tcPr>
          <w:p w14:paraId="3DD1A09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auto"/>
            <w:noWrap/>
            <w:vAlign w:val="center"/>
          </w:tcPr>
          <w:p w14:paraId="2E0A8FE8"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68</w:t>
            </w:r>
          </w:p>
        </w:tc>
        <w:tc>
          <w:tcPr>
            <w:tcW w:w="900" w:type="dxa"/>
            <w:shd w:val="clear" w:color="auto" w:fill="auto"/>
            <w:noWrap/>
            <w:vAlign w:val="center"/>
          </w:tcPr>
          <w:p w14:paraId="663F82F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62</w:t>
            </w:r>
          </w:p>
        </w:tc>
        <w:tc>
          <w:tcPr>
            <w:tcW w:w="810" w:type="dxa"/>
            <w:shd w:val="clear" w:color="auto" w:fill="auto"/>
            <w:noWrap/>
            <w:vAlign w:val="center"/>
          </w:tcPr>
          <w:p w14:paraId="2D8FDC61" w14:textId="712E228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14</w:t>
            </w:r>
          </w:p>
        </w:tc>
        <w:tc>
          <w:tcPr>
            <w:tcW w:w="720" w:type="dxa"/>
            <w:shd w:val="clear" w:color="auto" w:fill="auto"/>
            <w:noWrap/>
            <w:vAlign w:val="center"/>
          </w:tcPr>
          <w:p w14:paraId="030633E2" w14:textId="661F0559"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19</w:t>
            </w:r>
          </w:p>
        </w:tc>
        <w:tc>
          <w:tcPr>
            <w:tcW w:w="900" w:type="dxa"/>
            <w:shd w:val="clear" w:color="auto" w:fill="auto"/>
            <w:noWrap/>
            <w:vAlign w:val="center"/>
          </w:tcPr>
          <w:p w14:paraId="200112E3" w14:textId="78A05630"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81</w:t>
            </w:r>
          </w:p>
        </w:tc>
        <w:tc>
          <w:tcPr>
            <w:tcW w:w="1080" w:type="dxa"/>
            <w:shd w:val="clear" w:color="auto" w:fill="auto"/>
            <w:noWrap/>
            <w:vAlign w:val="center"/>
          </w:tcPr>
          <w:p w14:paraId="643E414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4.6</w:t>
            </w:r>
          </w:p>
        </w:tc>
        <w:tc>
          <w:tcPr>
            <w:tcW w:w="900" w:type="dxa"/>
            <w:shd w:val="clear" w:color="auto" w:fill="auto"/>
            <w:noWrap/>
            <w:vAlign w:val="center"/>
          </w:tcPr>
          <w:p w14:paraId="435AC46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auto"/>
            <w:noWrap/>
            <w:vAlign w:val="center"/>
          </w:tcPr>
          <w:p w14:paraId="0C2CFF62" w14:textId="47499449"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34</w:t>
            </w:r>
          </w:p>
        </w:tc>
      </w:tr>
      <w:tr w:rsidR="00EF588B" w:rsidRPr="00610759" w14:paraId="4373F77B" w14:textId="77777777" w:rsidTr="00402413">
        <w:trPr>
          <w:trHeight w:val="198"/>
        </w:trPr>
        <w:tc>
          <w:tcPr>
            <w:tcW w:w="899" w:type="dxa"/>
            <w:shd w:val="clear" w:color="auto" w:fill="DBE5F1" w:themeFill="accent1" w:themeFillTint="33"/>
            <w:noWrap/>
            <w:vAlign w:val="center"/>
          </w:tcPr>
          <w:p w14:paraId="0B2CB762"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8</w:t>
            </w:r>
          </w:p>
        </w:tc>
        <w:tc>
          <w:tcPr>
            <w:tcW w:w="1620" w:type="dxa"/>
            <w:shd w:val="clear" w:color="auto" w:fill="DBE5F1" w:themeFill="accent1" w:themeFillTint="33"/>
            <w:noWrap/>
            <w:vAlign w:val="center"/>
          </w:tcPr>
          <w:p w14:paraId="4D83E93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DBE5F1" w:themeFill="accent1" w:themeFillTint="33"/>
            <w:noWrap/>
            <w:vAlign w:val="center"/>
          </w:tcPr>
          <w:p w14:paraId="5897C3A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60</w:t>
            </w:r>
          </w:p>
        </w:tc>
        <w:tc>
          <w:tcPr>
            <w:tcW w:w="900" w:type="dxa"/>
            <w:shd w:val="clear" w:color="auto" w:fill="DBE5F1" w:themeFill="accent1" w:themeFillTint="33"/>
            <w:noWrap/>
            <w:vAlign w:val="center"/>
          </w:tcPr>
          <w:p w14:paraId="513A504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62*</w:t>
            </w:r>
          </w:p>
        </w:tc>
        <w:tc>
          <w:tcPr>
            <w:tcW w:w="810" w:type="dxa"/>
            <w:shd w:val="clear" w:color="auto" w:fill="DBE5F1" w:themeFill="accent1" w:themeFillTint="33"/>
            <w:noWrap/>
            <w:vAlign w:val="center"/>
          </w:tcPr>
          <w:p w14:paraId="4526E034" w14:textId="1B5BE76D"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37</w:t>
            </w:r>
          </w:p>
        </w:tc>
        <w:tc>
          <w:tcPr>
            <w:tcW w:w="720" w:type="dxa"/>
            <w:shd w:val="clear" w:color="auto" w:fill="DBE5F1" w:themeFill="accent1" w:themeFillTint="33"/>
            <w:noWrap/>
            <w:vAlign w:val="center"/>
          </w:tcPr>
          <w:p w14:paraId="7F740301" w14:textId="2FEE700F"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33</w:t>
            </w:r>
          </w:p>
        </w:tc>
        <w:tc>
          <w:tcPr>
            <w:tcW w:w="900" w:type="dxa"/>
            <w:shd w:val="clear" w:color="auto" w:fill="DBE5F1" w:themeFill="accent1" w:themeFillTint="33"/>
            <w:noWrap/>
            <w:vAlign w:val="center"/>
          </w:tcPr>
          <w:p w14:paraId="20A42E95" w14:textId="3D4E1C4C"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67</w:t>
            </w:r>
          </w:p>
        </w:tc>
        <w:tc>
          <w:tcPr>
            <w:tcW w:w="1080" w:type="dxa"/>
            <w:shd w:val="clear" w:color="auto" w:fill="DBE5F1" w:themeFill="accent1" w:themeFillTint="33"/>
            <w:noWrap/>
            <w:vAlign w:val="center"/>
          </w:tcPr>
          <w:p w14:paraId="559BCF4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556C1675"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2EA678C5" w14:textId="45757D02"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22</w:t>
            </w:r>
          </w:p>
        </w:tc>
      </w:tr>
      <w:tr w:rsidR="00EF588B" w:rsidRPr="00610759" w14:paraId="39610BA0" w14:textId="77777777" w:rsidTr="00402413">
        <w:trPr>
          <w:trHeight w:val="198"/>
        </w:trPr>
        <w:tc>
          <w:tcPr>
            <w:tcW w:w="899" w:type="dxa"/>
            <w:shd w:val="clear" w:color="auto" w:fill="DBE5F1" w:themeFill="accent1" w:themeFillTint="33"/>
            <w:noWrap/>
            <w:vAlign w:val="center"/>
          </w:tcPr>
          <w:p w14:paraId="52EA025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DBE5F1" w:themeFill="accent1" w:themeFillTint="33"/>
            <w:noWrap/>
            <w:vAlign w:val="center"/>
          </w:tcPr>
          <w:p w14:paraId="7667FF6B"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150 mg</w:t>
            </w:r>
          </w:p>
        </w:tc>
        <w:tc>
          <w:tcPr>
            <w:tcW w:w="630" w:type="dxa"/>
            <w:shd w:val="clear" w:color="auto" w:fill="DBE5F1" w:themeFill="accent1" w:themeFillTint="33"/>
            <w:noWrap/>
            <w:vAlign w:val="center"/>
          </w:tcPr>
          <w:p w14:paraId="0EBEA0D6"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60</w:t>
            </w:r>
          </w:p>
        </w:tc>
        <w:tc>
          <w:tcPr>
            <w:tcW w:w="900" w:type="dxa"/>
            <w:shd w:val="clear" w:color="auto" w:fill="DBE5F1" w:themeFill="accent1" w:themeFillTint="33"/>
            <w:noWrap/>
            <w:vAlign w:val="center"/>
          </w:tcPr>
          <w:p w14:paraId="422CFA0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61*</w:t>
            </w:r>
          </w:p>
        </w:tc>
        <w:tc>
          <w:tcPr>
            <w:tcW w:w="810" w:type="dxa"/>
            <w:shd w:val="clear" w:color="auto" w:fill="DBE5F1" w:themeFill="accent1" w:themeFillTint="33"/>
            <w:noWrap/>
            <w:vAlign w:val="center"/>
          </w:tcPr>
          <w:p w14:paraId="52818310" w14:textId="71D62C5F"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42</w:t>
            </w:r>
          </w:p>
        </w:tc>
        <w:tc>
          <w:tcPr>
            <w:tcW w:w="720" w:type="dxa"/>
            <w:shd w:val="clear" w:color="auto" w:fill="DBE5F1" w:themeFill="accent1" w:themeFillTint="33"/>
            <w:noWrap/>
            <w:vAlign w:val="center"/>
          </w:tcPr>
          <w:p w14:paraId="4D8DDB72" w14:textId="4C2AAED2"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35</w:t>
            </w:r>
          </w:p>
        </w:tc>
        <w:tc>
          <w:tcPr>
            <w:tcW w:w="900" w:type="dxa"/>
            <w:shd w:val="clear" w:color="auto" w:fill="DBE5F1" w:themeFill="accent1" w:themeFillTint="33"/>
            <w:noWrap/>
            <w:vAlign w:val="center"/>
          </w:tcPr>
          <w:p w14:paraId="56288E10" w14:textId="226950D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65</w:t>
            </w:r>
          </w:p>
        </w:tc>
        <w:tc>
          <w:tcPr>
            <w:tcW w:w="1080" w:type="dxa"/>
            <w:shd w:val="clear" w:color="auto" w:fill="DBE5F1" w:themeFill="accent1" w:themeFillTint="33"/>
            <w:noWrap/>
            <w:vAlign w:val="center"/>
          </w:tcPr>
          <w:p w14:paraId="6CDED9F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DBE5F1" w:themeFill="accent1" w:themeFillTint="33"/>
            <w:noWrap/>
            <w:vAlign w:val="center"/>
          </w:tcPr>
          <w:p w14:paraId="3C5DF1D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DBE5F1" w:themeFill="accent1" w:themeFillTint="33"/>
            <w:noWrap/>
            <w:vAlign w:val="center"/>
          </w:tcPr>
          <w:p w14:paraId="7B1395A6" w14:textId="64F927B7"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15</w:t>
            </w:r>
          </w:p>
        </w:tc>
      </w:tr>
      <w:tr w:rsidR="00EF588B" w:rsidRPr="00610759" w14:paraId="1DB4E3ED" w14:textId="77777777" w:rsidTr="00402413">
        <w:trPr>
          <w:trHeight w:val="198"/>
        </w:trPr>
        <w:tc>
          <w:tcPr>
            <w:tcW w:w="899" w:type="dxa"/>
            <w:shd w:val="clear" w:color="auto" w:fill="auto"/>
            <w:noWrap/>
            <w:vAlign w:val="center"/>
          </w:tcPr>
          <w:p w14:paraId="5B07B897"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9</w:t>
            </w:r>
          </w:p>
        </w:tc>
        <w:tc>
          <w:tcPr>
            <w:tcW w:w="1620" w:type="dxa"/>
            <w:shd w:val="clear" w:color="auto" w:fill="auto"/>
            <w:noWrap/>
            <w:vAlign w:val="center"/>
          </w:tcPr>
          <w:p w14:paraId="52414CE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 mg</w:t>
            </w:r>
          </w:p>
        </w:tc>
        <w:tc>
          <w:tcPr>
            <w:tcW w:w="630" w:type="dxa"/>
            <w:shd w:val="clear" w:color="auto" w:fill="auto"/>
            <w:noWrap/>
            <w:vAlign w:val="center"/>
          </w:tcPr>
          <w:p w14:paraId="2E30F24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54</w:t>
            </w:r>
          </w:p>
        </w:tc>
        <w:tc>
          <w:tcPr>
            <w:tcW w:w="900" w:type="dxa"/>
            <w:shd w:val="clear" w:color="auto" w:fill="auto"/>
            <w:noWrap/>
            <w:vAlign w:val="center"/>
          </w:tcPr>
          <w:p w14:paraId="26CC0B0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810" w:type="dxa"/>
            <w:shd w:val="clear" w:color="auto" w:fill="auto"/>
            <w:noWrap/>
            <w:vAlign w:val="center"/>
          </w:tcPr>
          <w:p w14:paraId="7CD0C976" w14:textId="53882B91"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22</w:t>
            </w:r>
          </w:p>
        </w:tc>
        <w:tc>
          <w:tcPr>
            <w:tcW w:w="720" w:type="dxa"/>
            <w:shd w:val="clear" w:color="auto" w:fill="auto"/>
            <w:noWrap/>
            <w:vAlign w:val="center"/>
          </w:tcPr>
          <w:p w14:paraId="70CDA89A"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1CCA1C26"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auto"/>
            <w:noWrap/>
            <w:vAlign w:val="center"/>
          </w:tcPr>
          <w:p w14:paraId="10A6AF8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65A9949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auto"/>
            <w:noWrap/>
            <w:vAlign w:val="center"/>
          </w:tcPr>
          <w:p w14:paraId="35B5E23C" w14:textId="36AB4EC2"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20</w:t>
            </w:r>
          </w:p>
        </w:tc>
      </w:tr>
      <w:tr w:rsidR="00EF588B" w:rsidRPr="00610759" w14:paraId="7C69C7D9" w14:textId="77777777" w:rsidTr="00402413">
        <w:trPr>
          <w:trHeight w:val="198"/>
        </w:trPr>
        <w:tc>
          <w:tcPr>
            <w:tcW w:w="899" w:type="dxa"/>
            <w:shd w:val="clear" w:color="auto" w:fill="auto"/>
            <w:noWrap/>
            <w:vAlign w:val="center"/>
          </w:tcPr>
          <w:p w14:paraId="3F98C38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auto"/>
            <w:noWrap/>
            <w:vAlign w:val="center"/>
          </w:tcPr>
          <w:p w14:paraId="6292EAD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 mg</w:t>
            </w:r>
          </w:p>
        </w:tc>
        <w:tc>
          <w:tcPr>
            <w:tcW w:w="630" w:type="dxa"/>
            <w:shd w:val="clear" w:color="auto" w:fill="auto"/>
            <w:noWrap/>
            <w:vAlign w:val="center"/>
          </w:tcPr>
          <w:p w14:paraId="3948F6AE"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56</w:t>
            </w:r>
          </w:p>
        </w:tc>
        <w:tc>
          <w:tcPr>
            <w:tcW w:w="900" w:type="dxa"/>
            <w:shd w:val="clear" w:color="auto" w:fill="auto"/>
            <w:noWrap/>
            <w:vAlign w:val="center"/>
          </w:tcPr>
          <w:p w14:paraId="3F2C353F"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810" w:type="dxa"/>
            <w:shd w:val="clear" w:color="auto" w:fill="auto"/>
            <w:noWrap/>
            <w:vAlign w:val="center"/>
          </w:tcPr>
          <w:p w14:paraId="1E038908" w14:textId="4DD223C9"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14</w:t>
            </w:r>
          </w:p>
        </w:tc>
        <w:tc>
          <w:tcPr>
            <w:tcW w:w="720" w:type="dxa"/>
            <w:shd w:val="clear" w:color="auto" w:fill="auto"/>
            <w:noWrap/>
            <w:vAlign w:val="center"/>
          </w:tcPr>
          <w:p w14:paraId="08ACB4E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64A4AFD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080" w:type="dxa"/>
            <w:shd w:val="clear" w:color="auto" w:fill="auto"/>
            <w:noWrap/>
            <w:vAlign w:val="center"/>
          </w:tcPr>
          <w:p w14:paraId="1CFAFEF0"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900" w:type="dxa"/>
            <w:shd w:val="clear" w:color="auto" w:fill="auto"/>
            <w:noWrap/>
            <w:vAlign w:val="center"/>
          </w:tcPr>
          <w:p w14:paraId="6412EE4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NR</w:t>
            </w:r>
          </w:p>
        </w:tc>
        <w:tc>
          <w:tcPr>
            <w:tcW w:w="1171" w:type="dxa"/>
            <w:shd w:val="clear" w:color="auto" w:fill="auto"/>
            <w:noWrap/>
            <w:vAlign w:val="center"/>
          </w:tcPr>
          <w:p w14:paraId="454B7F91" w14:textId="62D23E42"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25</w:t>
            </w:r>
          </w:p>
        </w:tc>
      </w:tr>
      <w:tr w:rsidR="00EF588B" w:rsidRPr="00610759" w14:paraId="24DF9A75" w14:textId="77777777" w:rsidTr="00402413">
        <w:trPr>
          <w:trHeight w:val="198"/>
        </w:trPr>
        <w:tc>
          <w:tcPr>
            <w:tcW w:w="899" w:type="dxa"/>
            <w:shd w:val="clear" w:color="auto" w:fill="DBE5F1" w:themeFill="accent1" w:themeFillTint="33"/>
            <w:noWrap/>
            <w:vAlign w:val="center"/>
          </w:tcPr>
          <w:p w14:paraId="0124B870" w14:textId="77777777" w:rsidR="00F00CF0" w:rsidRPr="00610759" w:rsidRDefault="002B467A"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10</w:t>
            </w:r>
          </w:p>
        </w:tc>
        <w:tc>
          <w:tcPr>
            <w:tcW w:w="1620" w:type="dxa"/>
            <w:shd w:val="clear" w:color="auto" w:fill="DBE5F1" w:themeFill="accent1" w:themeFillTint="33"/>
            <w:noWrap/>
            <w:vAlign w:val="center"/>
          </w:tcPr>
          <w:p w14:paraId="78C443AD"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Diclofenac 100/150 mg</w:t>
            </w:r>
          </w:p>
        </w:tc>
        <w:tc>
          <w:tcPr>
            <w:tcW w:w="630" w:type="dxa"/>
            <w:shd w:val="clear" w:color="auto" w:fill="DBE5F1" w:themeFill="accent1" w:themeFillTint="33"/>
            <w:noWrap/>
            <w:vAlign w:val="center"/>
          </w:tcPr>
          <w:p w14:paraId="1C653D63"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33</w:t>
            </w:r>
          </w:p>
        </w:tc>
        <w:tc>
          <w:tcPr>
            <w:tcW w:w="900" w:type="dxa"/>
            <w:shd w:val="clear" w:color="auto" w:fill="DBE5F1" w:themeFill="accent1" w:themeFillTint="33"/>
            <w:noWrap/>
            <w:vAlign w:val="center"/>
          </w:tcPr>
          <w:p w14:paraId="72F0AF71"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64</w:t>
            </w:r>
          </w:p>
        </w:tc>
        <w:tc>
          <w:tcPr>
            <w:tcW w:w="810" w:type="dxa"/>
            <w:shd w:val="clear" w:color="auto" w:fill="DBE5F1" w:themeFill="accent1" w:themeFillTint="33"/>
            <w:noWrap/>
            <w:vAlign w:val="center"/>
          </w:tcPr>
          <w:p w14:paraId="16876FE6" w14:textId="359F3A65"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42</w:t>
            </w:r>
          </w:p>
        </w:tc>
        <w:tc>
          <w:tcPr>
            <w:tcW w:w="720" w:type="dxa"/>
            <w:shd w:val="clear" w:color="auto" w:fill="DBE5F1" w:themeFill="accent1" w:themeFillTint="33"/>
            <w:noWrap/>
            <w:vAlign w:val="center"/>
          </w:tcPr>
          <w:p w14:paraId="64DC891E" w14:textId="553F72CE"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0</w:t>
            </w:r>
          </w:p>
        </w:tc>
        <w:tc>
          <w:tcPr>
            <w:tcW w:w="900" w:type="dxa"/>
            <w:shd w:val="clear" w:color="auto" w:fill="DBE5F1" w:themeFill="accent1" w:themeFillTint="33"/>
            <w:noWrap/>
            <w:vAlign w:val="center"/>
          </w:tcPr>
          <w:p w14:paraId="7B85376F" w14:textId="24983E98"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100</w:t>
            </w:r>
          </w:p>
        </w:tc>
        <w:tc>
          <w:tcPr>
            <w:tcW w:w="1080" w:type="dxa"/>
            <w:shd w:val="clear" w:color="auto" w:fill="DBE5F1" w:themeFill="accent1" w:themeFillTint="33"/>
            <w:noWrap/>
            <w:vAlign w:val="center"/>
          </w:tcPr>
          <w:p w14:paraId="40ACA0F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6.1</w:t>
            </w:r>
          </w:p>
        </w:tc>
        <w:tc>
          <w:tcPr>
            <w:tcW w:w="900" w:type="dxa"/>
            <w:shd w:val="clear" w:color="auto" w:fill="DBE5F1" w:themeFill="accent1" w:themeFillTint="33"/>
            <w:noWrap/>
            <w:vAlign w:val="center"/>
          </w:tcPr>
          <w:p w14:paraId="39A84FD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DBE5F1" w:themeFill="accent1" w:themeFillTint="33"/>
            <w:noWrap/>
            <w:vAlign w:val="center"/>
          </w:tcPr>
          <w:p w14:paraId="090BCDB7" w14:textId="5CA47EBE"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21</w:t>
            </w:r>
          </w:p>
        </w:tc>
      </w:tr>
      <w:tr w:rsidR="00EF588B" w:rsidRPr="00610759" w14:paraId="1A869200" w14:textId="77777777" w:rsidTr="00402413">
        <w:trPr>
          <w:trHeight w:val="198"/>
        </w:trPr>
        <w:tc>
          <w:tcPr>
            <w:tcW w:w="899" w:type="dxa"/>
            <w:shd w:val="clear" w:color="auto" w:fill="DBE5F1" w:themeFill="accent1" w:themeFillTint="33"/>
            <w:noWrap/>
            <w:vAlign w:val="center"/>
          </w:tcPr>
          <w:p w14:paraId="31353E1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p>
        </w:tc>
        <w:tc>
          <w:tcPr>
            <w:tcW w:w="1620" w:type="dxa"/>
            <w:shd w:val="clear" w:color="auto" w:fill="DBE5F1" w:themeFill="accent1" w:themeFillTint="33"/>
            <w:noWrap/>
            <w:vAlign w:val="center"/>
          </w:tcPr>
          <w:p w14:paraId="629BCC0C"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Naproxen 500/750 mg</w:t>
            </w:r>
          </w:p>
        </w:tc>
        <w:tc>
          <w:tcPr>
            <w:tcW w:w="630" w:type="dxa"/>
            <w:shd w:val="clear" w:color="auto" w:fill="DBE5F1" w:themeFill="accent1" w:themeFillTint="33"/>
            <w:noWrap/>
            <w:vAlign w:val="center"/>
          </w:tcPr>
          <w:p w14:paraId="0DEFE472"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31</w:t>
            </w:r>
          </w:p>
        </w:tc>
        <w:tc>
          <w:tcPr>
            <w:tcW w:w="900" w:type="dxa"/>
            <w:shd w:val="clear" w:color="auto" w:fill="DBE5F1" w:themeFill="accent1" w:themeFillTint="33"/>
            <w:noWrap/>
            <w:vAlign w:val="center"/>
          </w:tcPr>
          <w:p w14:paraId="471B9519"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66</w:t>
            </w:r>
          </w:p>
        </w:tc>
        <w:tc>
          <w:tcPr>
            <w:tcW w:w="810" w:type="dxa"/>
            <w:shd w:val="clear" w:color="auto" w:fill="DBE5F1" w:themeFill="accent1" w:themeFillTint="33"/>
            <w:noWrap/>
            <w:vAlign w:val="center"/>
          </w:tcPr>
          <w:p w14:paraId="0833B5F4" w14:textId="0A78DE59"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32</w:t>
            </w:r>
          </w:p>
        </w:tc>
        <w:tc>
          <w:tcPr>
            <w:tcW w:w="720" w:type="dxa"/>
            <w:shd w:val="clear" w:color="auto" w:fill="DBE5F1" w:themeFill="accent1" w:themeFillTint="33"/>
            <w:noWrap/>
            <w:vAlign w:val="center"/>
          </w:tcPr>
          <w:p w14:paraId="42D80B43" w14:textId="0B1B2DB9"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0</w:t>
            </w:r>
          </w:p>
        </w:tc>
        <w:tc>
          <w:tcPr>
            <w:tcW w:w="900" w:type="dxa"/>
            <w:shd w:val="clear" w:color="auto" w:fill="DBE5F1" w:themeFill="accent1" w:themeFillTint="33"/>
            <w:noWrap/>
            <w:vAlign w:val="center"/>
          </w:tcPr>
          <w:p w14:paraId="7534D6F6" w14:textId="17A80A1A" w:rsidR="00F00CF0" w:rsidRPr="00610759" w:rsidRDefault="00F00CF0" w:rsidP="00402413">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100</w:t>
            </w:r>
          </w:p>
        </w:tc>
        <w:tc>
          <w:tcPr>
            <w:tcW w:w="1080" w:type="dxa"/>
            <w:shd w:val="clear" w:color="auto" w:fill="DBE5F1" w:themeFill="accent1" w:themeFillTint="33"/>
            <w:noWrap/>
            <w:vAlign w:val="center"/>
          </w:tcPr>
          <w:p w14:paraId="0727A277"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7.4</w:t>
            </w:r>
          </w:p>
        </w:tc>
        <w:tc>
          <w:tcPr>
            <w:tcW w:w="900" w:type="dxa"/>
            <w:shd w:val="clear" w:color="auto" w:fill="DBE5F1" w:themeFill="accent1" w:themeFillTint="33"/>
            <w:noWrap/>
            <w:vAlign w:val="center"/>
          </w:tcPr>
          <w:p w14:paraId="169075E4" w14:textId="77777777" w:rsidR="00F00CF0" w:rsidRPr="00610759" w:rsidRDefault="00F00CF0" w:rsidP="002B58CC">
            <w:pPr>
              <w:spacing w:after="0" w:line="240" w:lineRule="auto"/>
              <w:jc w:val="left"/>
              <w:rPr>
                <w:rFonts w:ascii="Times New Roman" w:hAnsi="Times New Roman"/>
                <w:color w:val="000000"/>
                <w:sz w:val="14"/>
                <w:szCs w:val="14"/>
                <w:lang w:val="en-US" w:eastAsia="en-US"/>
              </w:rPr>
            </w:pPr>
            <w:r w:rsidRPr="00610759">
              <w:rPr>
                <w:rFonts w:ascii="Times New Roman" w:hAnsi="Times New Roman"/>
                <w:color w:val="000000"/>
                <w:sz w:val="14"/>
                <w:szCs w:val="14"/>
                <w:lang w:val="en-US" w:eastAsia="en-US"/>
              </w:rPr>
              <w:t>yes</w:t>
            </w:r>
          </w:p>
        </w:tc>
        <w:tc>
          <w:tcPr>
            <w:tcW w:w="1171" w:type="dxa"/>
            <w:shd w:val="clear" w:color="auto" w:fill="DBE5F1" w:themeFill="accent1" w:themeFillTint="33"/>
            <w:noWrap/>
            <w:vAlign w:val="center"/>
          </w:tcPr>
          <w:p w14:paraId="3F076A52" w14:textId="0210E16B" w:rsidR="00F00CF0" w:rsidRPr="00610759" w:rsidRDefault="00402413" w:rsidP="002B58CC">
            <w:pPr>
              <w:spacing w:after="0" w:line="240" w:lineRule="auto"/>
              <w:jc w:val="left"/>
              <w:rPr>
                <w:rFonts w:ascii="Times New Roman" w:hAnsi="Times New Roman"/>
                <w:color w:val="000000"/>
                <w:sz w:val="14"/>
                <w:szCs w:val="14"/>
                <w:lang w:val="en-US" w:eastAsia="en-US"/>
              </w:rPr>
            </w:pPr>
            <w:r>
              <w:rPr>
                <w:rFonts w:ascii="Times New Roman" w:hAnsi="Times New Roman"/>
                <w:color w:val="000000"/>
                <w:sz w:val="14"/>
                <w:szCs w:val="14"/>
                <w:lang w:val="en-US" w:eastAsia="en-US"/>
              </w:rPr>
              <w:t>26</w:t>
            </w:r>
          </w:p>
        </w:tc>
      </w:tr>
    </w:tbl>
    <w:p w14:paraId="6B9C12FE" w14:textId="77777777" w:rsidR="00B92D73" w:rsidRDefault="00B92D73" w:rsidP="00F00CF0">
      <w:pPr>
        <w:rPr>
          <w:rFonts w:ascii="Times New Roman" w:hAnsi="Times New Roman"/>
          <w:i/>
          <w:sz w:val="18"/>
          <w:szCs w:val="18"/>
          <w:lang w:val="en-US" w:eastAsia="en-US"/>
        </w:rPr>
      </w:pPr>
      <w:r>
        <w:rPr>
          <w:rFonts w:ascii="Times New Roman" w:hAnsi="Times New Roman"/>
          <w:i/>
          <w:sz w:val="18"/>
          <w:szCs w:val="18"/>
          <w:lang w:val="en-US" w:eastAsia="en-US"/>
        </w:rPr>
        <w:t>*M</w:t>
      </w:r>
      <w:r w:rsidRPr="00610759">
        <w:rPr>
          <w:rFonts w:ascii="Times New Roman" w:hAnsi="Times New Roman"/>
          <w:i/>
          <w:sz w:val="18"/>
          <w:szCs w:val="18"/>
          <w:lang w:val="en-US" w:eastAsia="en-US"/>
        </w:rPr>
        <w:t>edian</w:t>
      </w:r>
    </w:p>
    <w:p w14:paraId="379BC50B" w14:textId="71986C01" w:rsidR="00F00CF0" w:rsidRPr="00610759" w:rsidRDefault="0001478F" w:rsidP="00F00CF0">
      <w:pPr>
        <w:rPr>
          <w:rFonts w:ascii="Times New Roman" w:hAnsi="Times New Roman"/>
          <w:lang w:val="en-US" w:eastAsia="ja-JP"/>
        </w:rPr>
      </w:pPr>
      <w:r>
        <w:rPr>
          <w:rFonts w:ascii="Times New Roman" w:hAnsi="Times New Roman"/>
          <w:i/>
          <w:sz w:val="18"/>
          <w:szCs w:val="18"/>
          <w:lang w:val="en-US" w:eastAsia="en-US"/>
        </w:rPr>
        <w:t>CSR, clinical study report;</w:t>
      </w:r>
      <w:r w:rsidR="00B92D73" w:rsidRPr="00610759">
        <w:rPr>
          <w:rFonts w:ascii="Times New Roman" w:hAnsi="Times New Roman"/>
          <w:i/>
          <w:sz w:val="18"/>
          <w:szCs w:val="18"/>
          <w:lang w:val="en-US" w:eastAsia="en-US"/>
        </w:rPr>
        <w:t xml:space="preserve"> </w:t>
      </w:r>
      <w:r w:rsidR="00F00CF0" w:rsidRPr="00610759">
        <w:rPr>
          <w:rFonts w:ascii="Times New Roman" w:hAnsi="Times New Roman"/>
          <w:i/>
          <w:sz w:val="18"/>
          <w:szCs w:val="18"/>
          <w:lang w:val="en-US" w:eastAsia="en-US"/>
        </w:rPr>
        <w:t>ITT</w:t>
      </w:r>
      <w:r w:rsidR="00B92D73">
        <w:rPr>
          <w:rFonts w:ascii="Times New Roman" w:hAnsi="Times New Roman"/>
          <w:i/>
          <w:sz w:val="18"/>
          <w:szCs w:val="18"/>
          <w:lang w:val="en-US" w:eastAsia="en-US"/>
        </w:rPr>
        <w:t>,</w:t>
      </w:r>
      <w:r w:rsidR="00F00CF0" w:rsidRPr="00610759">
        <w:rPr>
          <w:rFonts w:ascii="Times New Roman" w:hAnsi="Times New Roman"/>
          <w:i/>
          <w:sz w:val="18"/>
          <w:szCs w:val="18"/>
          <w:lang w:val="en-US" w:eastAsia="en-US"/>
        </w:rPr>
        <w:t xml:space="preserve"> Intention-To-Treat; n/a</w:t>
      </w:r>
      <w:r w:rsidR="00B92D73">
        <w:rPr>
          <w:rFonts w:ascii="Times New Roman" w:hAnsi="Times New Roman"/>
          <w:i/>
          <w:sz w:val="18"/>
          <w:szCs w:val="18"/>
          <w:lang w:val="en-US" w:eastAsia="en-US"/>
        </w:rPr>
        <w:t>,</w:t>
      </w:r>
      <w:r w:rsidR="00F00CF0" w:rsidRPr="00610759">
        <w:rPr>
          <w:rFonts w:ascii="Times New Roman" w:hAnsi="Times New Roman"/>
          <w:i/>
          <w:sz w:val="18"/>
          <w:szCs w:val="18"/>
          <w:lang w:val="en-US" w:eastAsia="en-US"/>
        </w:rPr>
        <w:t xml:space="preserve"> not applicable; NR</w:t>
      </w:r>
      <w:r w:rsidR="00B92D73">
        <w:rPr>
          <w:rFonts w:ascii="Times New Roman" w:hAnsi="Times New Roman"/>
          <w:i/>
          <w:sz w:val="18"/>
          <w:szCs w:val="18"/>
          <w:lang w:val="en-US" w:eastAsia="en-US"/>
        </w:rPr>
        <w:t>,</w:t>
      </w:r>
      <w:r w:rsidR="00797C5C">
        <w:rPr>
          <w:rFonts w:ascii="Times New Roman" w:hAnsi="Times New Roman"/>
          <w:i/>
          <w:sz w:val="18"/>
          <w:szCs w:val="18"/>
          <w:lang w:val="en-US" w:eastAsia="en-US"/>
        </w:rPr>
        <w:t xml:space="preserve"> </w:t>
      </w:r>
      <w:r w:rsidR="00F00CF0" w:rsidRPr="00610759">
        <w:rPr>
          <w:rFonts w:ascii="Times New Roman" w:hAnsi="Times New Roman"/>
          <w:i/>
          <w:sz w:val="18"/>
          <w:szCs w:val="18"/>
          <w:lang w:val="en-US" w:eastAsia="en-US"/>
        </w:rPr>
        <w:t xml:space="preserve">not reported; </w:t>
      </w:r>
    </w:p>
    <w:p w14:paraId="6DE315EE" w14:textId="77777777" w:rsidR="00F00CF0" w:rsidRPr="00610759" w:rsidRDefault="00F00CF0" w:rsidP="00F00CF0">
      <w:pPr>
        <w:spacing w:after="0" w:line="240" w:lineRule="auto"/>
        <w:jc w:val="left"/>
        <w:rPr>
          <w:rFonts w:ascii="Times New Roman" w:hAnsi="Times New Roman"/>
          <w:kern w:val="28"/>
          <w:sz w:val="44"/>
          <w:lang w:val="en-US"/>
        </w:rPr>
      </w:pPr>
    </w:p>
    <w:sectPr w:rsidR="00F00CF0" w:rsidRPr="0061075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08EFB" w14:textId="77777777" w:rsidR="004370FF" w:rsidRDefault="004370FF">
      <w:pPr>
        <w:spacing w:after="0" w:line="240" w:lineRule="auto"/>
      </w:pPr>
      <w:r>
        <w:separator/>
      </w:r>
    </w:p>
  </w:endnote>
  <w:endnote w:type="continuationSeparator" w:id="0">
    <w:p w14:paraId="6BC02410" w14:textId="77777777" w:rsidR="004370FF" w:rsidRDefault="0043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C37D2" w14:textId="77777777" w:rsidR="004370FF" w:rsidRDefault="004370FF">
      <w:pPr>
        <w:spacing w:after="0" w:line="240" w:lineRule="auto"/>
      </w:pPr>
      <w:r>
        <w:separator/>
      </w:r>
    </w:p>
  </w:footnote>
  <w:footnote w:type="continuationSeparator" w:id="0">
    <w:p w14:paraId="43A3B674" w14:textId="77777777" w:rsidR="004370FF" w:rsidRDefault="00437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05538"/>
    <w:multiLevelType w:val="multilevel"/>
    <w:tmpl w:val="EB96783E"/>
    <w:lvl w:ilvl="0">
      <w:start w:val="1"/>
      <w:numFmt w:val="decimal"/>
      <w:pStyle w:val="Heading1"/>
      <w:lvlText w:val="%1."/>
      <w:lvlJc w:val="left"/>
      <w:pPr>
        <w:tabs>
          <w:tab w:val="num" w:pos="574"/>
        </w:tabs>
        <w:ind w:left="0" w:firstLine="0"/>
      </w:pPr>
      <w:rPr>
        <w:rFonts w:hint="default"/>
        <w:sz w:val="44"/>
        <w:szCs w:val="4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F0"/>
    <w:rsid w:val="0001478F"/>
    <w:rsid w:val="000359F2"/>
    <w:rsid w:val="00056A5C"/>
    <w:rsid w:val="000A3DCD"/>
    <w:rsid w:val="000C2FED"/>
    <w:rsid w:val="00121976"/>
    <w:rsid w:val="00174BA8"/>
    <w:rsid w:val="001A740E"/>
    <w:rsid w:val="00243F41"/>
    <w:rsid w:val="00297B84"/>
    <w:rsid w:val="002A1ECB"/>
    <w:rsid w:val="002B467A"/>
    <w:rsid w:val="002B58CC"/>
    <w:rsid w:val="002F1E1B"/>
    <w:rsid w:val="0036733A"/>
    <w:rsid w:val="00396CD9"/>
    <w:rsid w:val="00402413"/>
    <w:rsid w:val="004370FF"/>
    <w:rsid w:val="00580310"/>
    <w:rsid w:val="005D23F8"/>
    <w:rsid w:val="005E5860"/>
    <w:rsid w:val="00610759"/>
    <w:rsid w:val="00673386"/>
    <w:rsid w:val="0068405F"/>
    <w:rsid w:val="00726F2D"/>
    <w:rsid w:val="00732702"/>
    <w:rsid w:val="007475C9"/>
    <w:rsid w:val="00781591"/>
    <w:rsid w:val="00790532"/>
    <w:rsid w:val="00792817"/>
    <w:rsid w:val="00797C5C"/>
    <w:rsid w:val="007A1F18"/>
    <w:rsid w:val="007D116C"/>
    <w:rsid w:val="007E0FCD"/>
    <w:rsid w:val="008F79C3"/>
    <w:rsid w:val="00902831"/>
    <w:rsid w:val="009262A0"/>
    <w:rsid w:val="00960D6E"/>
    <w:rsid w:val="009B77C7"/>
    <w:rsid w:val="00AE37E9"/>
    <w:rsid w:val="00B21D62"/>
    <w:rsid w:val="00B8161C"/>
    <w:rsid w:val="00B92D73"/>
    <w:rsid w:val="00CA0715"/>
    <w:rsid w:val="00CF6B2B"/>
    <w:rsid w:val="00D5632F"/>
    <w:rsid w:val="00E23D12"/>
    <w:rsid w:val="00E420A1"/>
    <w:rsid w:val="00E94436"/>
    <w:rsid w:val="00EF588B"/>
    <w:rsid w:val="00F00CF0"/>
    <w:rsid w:val="00F6216D"/>
    <w:rsid w:val="00F7753E"/>
    <w:rsid w:val="00F871A7"/>
    <w:rsid w:val="00FE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EB05"/>
  <w15:docId w15:val="{1549BC3A-04FD-4C52-A3D2-53D88C3B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F0"/>
    <w:pPr>
      <w:spacing w:after="120" w:line="360" w:lineRule="auto"/>
      <w:jc w:val="both"/>
    </w:pPr>
    <w:rPr>
      <w:rFonts w:ascii="Verdana" w:eastAsia="Times New Roman" w:hAnsi="Verdana" w:cs="Times New Roman"/>
      <w:sz w:val="19"/>
      <w:szCs w:val="20"/>
      <w:lang w:val="en-GB" w:eastAsia="en-GB"/>
    </w:rPr>
  </w:style>
  <w:style w:type="paragraph" w:styleId="Heading1">
    <w:name w:val="heading 1"/>
    <w:aliases w:val="Char Char Char Char Char Char Char,Titre 4b,Heading 1 Char2 Char,Heading 1 Char Char Char Char1,Heading 1 Char1 Char Char1,Heading 1 Char Char1 Char,Heading 1 Char1 Char Char Char,Heading 1 Char Char Char Char Char,Heading 1 Char1"/>
    <w:next w:val="Normal"/>
    <w:link w:val="Heading1Char"/>
    <w:uiPriority w:val="9"/>
    <w:qFormat/>
    <w:rsid w:val="00F00CF0"/>
    <w:pPr>
      <w:keepNext/>
      <w:numPr>
        <w:numId w:val="1"/>
      </w:numPr>
      <w:pBdr>
        <w:bottom w:val="single" w:sz="4" w:space="1" w:color="auto"/>
      </w:pBdr>
      <w:spacing w:after="360" w:line="360" w:lineRule="auto"/>
      <w:outlineLvl w:val="0"/>
    </w:pPr>
    <w:rPr>
      <w:rFonts w:ascii="Verdana" w:eastAsia="Times New Roman" w:hAnsi="Verdana" w:cs="Times New Roman"/>
      <w:kern w:val="28"/>
      <w:sz w:val="44"/>
      <w:szCs w:val="20"/>
      <w:lang w:eastAsia="en-GB"/>
    </w:rPr>
  </w:style>
  <w:style w:type="paragraph" w:styleId="Heading2">
    <w:name w:val="heading 2"/>
    <w:aliases w:val="Char,X.X Sub heading,Treb"/>
    <w:next w:val="Normal"/>
    <w:link w:val="Heading2Char"/>
    <w:qFormat/>
    <w:rsid w:val="00F00CF0"/>
    <w:pPr>
      <w:keepNext/>
      <w:numPr>
        <w:ilvl w:val="1"/>
        <w:numId w:val="1"/>
      </w:numPr>
      <w:tabs>
        <w:tab w:val="left" w:pos="851"/>
      </w:tabs>
      <w:spacing w:before="240" w:after="180" w:line="240" w:lineRule="auto"/>
      <w:outlineLvl w:val="1"/>
    </w:pPr>
    <w:rPr>
      <w:rFonts w:ascii="Verdana" w:eastAsia="Times New Roman" w:hAnsi="Verdana" w:cs="Times New Roman"/>
      <w:b/>
      <w:sz w:val="23"/>
      <w:szCs w:val="20"/>
    </w:rPr>
  </w:style>
  <w:style w:type="paragraph" w:styleId="Heading3">
    <w:name w:val="heading 3"/>
    <w:aliases w:val="X.X.X Sub sub heading,Char1"/>
    <w:next w:val="Normal"/>
    <w:link w:val="Heading3Char"/>
    <w:qFormat/>
    <w:rsid w:val="00F00CF0"/>
    <w:pPr>
      <w:keepNext/>
      <w:numPr>
        <w:ilvl w:val="2"/>
        <w:numId w:val="1"/>
      </w:numPr>
      <w:spacing w:before="120" w:after="120" w:line="240" w:lineRule="auto"/>
      <w:outlineLvl w:val="2"/>
    </w:pPr>
    <w:rPr>
      <w:rFonts w:ascii="Verdana" w:eastAsia="Times New Roman" w:hAnsi="Verdana" w:cs="Times New Roman"/>
      <w:b/>
      <w:i/>
      <w:sz w:val="20"/>
      <w:szCs w:val="20"/>
    </w:rPr>
  </w:style>
  <w:style w:type="paragraph" w:styleId="Heading4">
    <w:name w:val="heading 4"/>
    <w:next w:val="Normal"/>
    <w:link w:val="Heading4Char"/>
    <w:qFormat/>
    <w:rsid w:val="00F00CF0"/>
    <w:pPr>
      <w:keepNext/>
      <w:numPr>
        <w:ilvl w:val="3"/>
        <w:numId w:val="1"/>
      </w:numPr>
      <w:spacing w:before="120" w:after="120" w:line="240" w:lineRule="auto"/>
      <w:outlineLvl w:val="3"/>
    </w:pPr>
    <w:rPr>
      <w:rFonts w:ascii="Verdana" w:eastAsia="Times New Roman" w:hAnsi="Verdana" w:cs="Times New Roman"/>
      <w:i/>
      <w:sz w:val="19"/>
      <w:szCs w:val="20"/>
      <w:lang w:val="en-GB" w:eastAsia="en-GB"/>
    </w:rPr>
  </w:style>
  <w:style w:type="paragraph" w:styleId="Heading5">
    <w:name w:val="heading 5"/>
    <w:basedOn w:val="Normal"/>
    <w:next w:val="Normal"/>
    <w:link w:val="Heading5Char"/>
    <w:qFormat/>
    <w:rsid w:val="00F00CF0"/>
    <w:pPr>
      <w:numPr>
        <w:ilvl w:val="4"/>
        <w:numId w:val="1"/>
      </w:numPr>
      <w:spacing w:before="240" w:after="60"/>
      <w:outlineLvl w:val="4"/>
    </w:pPr>
    <w:rPr>
      <w:i/>
    </w:rPr>
  </w:style>
  <w:style w:type="paragraph" w:styleId="Heading6">
    <w:name w:val="heading 6"/>
    <w:basedOn w:val="Normal"/>
    <w:next w:val="Normal"/>
    <w:link w:val="Heading6Char"/>
    <w:qFormat/>
    <w:rsid w:val="00F00CF0"/>
    <w:pPr>
      <w:numPr>
        <w:ilvl w:val="5"/>
        <w:numId w:val="1"/>
      </w:numPr>
      <w:spacing w:before="240" w:after="60"/>
      <w:outlineLvl w:val="5"/>
    </w:pPr>
    <w:rPr>
      <w:i/>
      <w:sz w:val="22"/>
    </w:rPr>
  </w:style>
  <w:style w:type="paragraph" w:styleId="Heading7">
    <w:name w:val="heading 7"/>
    <w:basedOn w:val="Normal"/>
    <w:next w:val="Normal"/>
    <w:link w:val="Heading7Char"/>
    <w:qFormat/>
    <w:rsid w:val="00F00CF0"/>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Char Char Char Char,Titre 4b Char,Heading 1 Char2 Char Char,Heading 1 Char Char Char Char1 Char,Heading 1 Char1 Char Char1 Char,Heading 1 Char Char1 Char Char,Heading 1 Char1 Char Char Char Char,Heading 1 Char1 Char"/>
    <w:basedOn w:val="DefaultParagraphFont"/>
    <w:link w:val="Heading1"/>
    <w:uiPriority w:val="9"/>
    <w:rsid w:val="00F00CF0"/>
    <w:rPr>
      <w:rFonts w:ascii="Verdana" w:eastAsia="Times New Roman" w:hAnsi="Verdana" w:cs="Times New Roman"/>
      <w:kern w:val="28"/>
      <w:sz w:val="44"/>
      <w:szCs w:val="20"/>
      <w:lang w:eastAsia="en-GB"/>
    </w:rPr>
  </w:style>
  <w:style w:type="character" w:customStyle="1" w:styleId="Heading2Char">
    <w:name w:val="Heading 2 Char"/>
    <w:aliases w:val="Char Char,X.X Sub heading Char,Treb Char"/>
    <w:basedOn w:val="DefaultParagraphFont"/>
    <w:link w:val="Heading2"/>
    <w:rsid w:val="00F00CF0"/>
    <w:rPr>
      <w:rFonts w:ascii="Verdana" w:eastAsia="Times New Roman" w:hAnsi="Verdana" w:cs="Times New Roman"/>
      <w:b/>
      <w:sz w:val="23"/>
      <w:szCs w:val="20"/>
    </w:rPr>
  </w:style>
  <w:style w:type="character" w:customStyle="1" w:styleId="Heading3Char">
    <w:name w:val="Heading 3 Char"/>
    <w:aliases w:val="X.X.X Sub sub heading Char,Char1 Char"/>
    <w:basedOn w:val="DefaultParagraphFont"/>
    <w:link w:val="Heading3"/>
    <w:rsid w:val="00F00CF0"/>
    <w:rPr>
      <w:rFonts w:ascii="Verdana" w:eastAsia="Times New Roman" w:hAnsi="Verdana" w:cs="Times New Roman"/>
      <w:b/>
      <w:i/>
      <w:sz w:val="20"/>
      <w:szCs w:val="20"/>
    </w:rPr>
  </w:style>
  <w:style w:type="character" w:customStyle="1" w:styleId="Heading4Char">
    <w:name w:val="Heading 4 Char"/>
    <w:basedOn w:val="DefaultParagraphFont"/>
    <w:link w:val="Heading4"/>
    <w:rsid w:val="00F00CF0"/>
    <w:rPr>
      <w:rFonts w:ascii="Verdana" w:eastAsia="Times New Roman" w:hAnsi="Verdana" w:cs="Times New Roman"/>
      <w:i/>
      <w:sz w:val="19"/>
      <w:szCs w:val="20"/>
      <w:lang w:val="en-GB" w:eastAsia="en-GB"/>
    </w:rPr>
  </w:style>
  <w:style w:type="character" w:customStyle="1" w:styleId="Heading5Char">
    <w:name w:val="Heading 5 Char"/>
    <w:basedOn w:val="DefaultParagraphFont"/>
    <w:link w:val="Heading5"/>
    <w:rsid w:val="00F00CF0"/>
    <w:rPr>
      <w:rFonts w:ascii="Verdana" w:eastAsia="Times New Roman" w:hAnsi="Verdana" w:cs="Times New Roman"/>
      <w:i/>
      <w:sz w:val="19"/>
      <w:szCs w:val="20"/>
      <w:lang w:val="en-GB" w:eastAsia="en-GB"/>
    </w:rPr>
  </w:style>
  <w:style w:type="character" w:customStyle="1" w:styleId="Heading6Char">
    <w:name w:val="Heading 6 Char"/>
    <w:basedOn w:val="DefaultParagraphFont"/>
    <w:link w:val="Heading6"/>
    <w:rsid w:val="00F00CF0"/>
    <w:rPr>
      <w:rFonts w:ascii="Verdana" w:eastAsia="Times New Roman" w:hAnsi="Verdana" w:cs="Times New Roman"/>
      <w:i/>
      <w:szCs w:val="20"/>
      <w:lang w:val="en-GB" w:eastAsia="en-GB"/>
    </w:rPr>
  </w:style>
  <w:style w:type="character" w:customStyle="1" w:styleId="Heading7Char">
    <w:name w:val="Heading 7 Char"/>
    <w:basedOn w:val="DefaultParagraphFont"/>
    <w:link w:val="Heading7"/>
    <w:rsid w:val="00F00CF0"/>
    <w:rPr>
      <w:rFonts w:ascii="Verdana" w:eastAsia="Times New Roman" w:hAnsi="Verdana" w:cs="Times New Roman"/>
      <w:sz w:val="19"/>
      <w:szCs w:val="20"/>
      <w:lang w:val="en-GB" w:eastAsia="en-GB"/>
    </w:rPr>
  </w:style>
  <w:style w:type="paragraph" w:styleId="Footer">
    <w:name w:val="footer"/>
    <w:basedOn w:val="Normal"/>
    <w:link w:val="FooterChar"/>
    <w:uiPriority w:val="99"/>
    <w:rsid w:val="00F00CF0"/>
    <w:pPr>
      <w:tabs>
        <w:tab w:val="center" w:pos="4536"/>
        <w:tab w:val="right" w:pos="9072"/>
      </w:tabs>
    </w:pPr>
  </w:style>
  <w:style w:type="character" w:customStyle="1" w:styleId="FooterChar">
    <w:name w:val="Footer Char"/>
    <w:basedOn w:val="DefaultParagraphFont"/>
    <w:link w:val="Footer"/>
    <w:uiPriority w:val="99"/>
    <w:rsid w:val="00F00CF0"/>
    <w:rPr>
      <w:rFonts w:ascii="Verdana" w:eastAsia="Times New Roman" w:hAnsi="Verdana" w:cs="Times New Roman"/>
      <w:sz w:val="19"/>
      <w:szCs w:val="20"/>
      <w:lang w:val="en-GB" w:eastAsia="en-GB"/>
    </w:rPr>
  </w:style>
  <w:style w:type="paragraph" w:styleId="Header">
    <w:name w:val="header"/>
    <w:basedOn w:val="Normal"/>
    <w:link w:val="HeaderChar"/>
    <w:rsid w:val="00F00CF0"/>
    <w:pPr>
      <w:tabs>
        <w:tab w:val="right" w:pos="8222"/>
      </w:tabs>
    </w:pPr>
  </w:style>
  <w:style w:type="character" w:customStyle="1" w:styleId="HeaderChar">
    <w:name w:val="Header Char"/>
    <w:basedOn w:val="DefaultParagraphFont"/>
    <w:link w:val="Header"/>
    <w:rsid w:val="00F00CF0"/>
    <w:rPr>
      <w:rFonts w:ascii="Verdana" w:eastAsia="Times New Roman" w:hAnsi="Verdana" w:cs="Times New Roman"/>
      <w:sz w:val="19"/>
      <w:szCs w:val="20"/>
      <w:lang w:val="en-GB" w:eastAsia="en-GB"/>
    </w:rPr>
  </w:style>
  <w:style w:type="character" w:styleId="PageNumber">
    <w:name w:val="page number"/>
    <w:basedOn w:val="DefaultParagraphFont"/>
    <w:rsid w:val="00F00CF0"/>
    <w:rPr>
      <w:rFonts w:ascii="Arial" w:hAnsi="Arial"/>
      <w:color w:val="555555"/>
    </w:rPr>
  </w:style>
  <w:style w:type="paragraph" w:styleId="Caption">
    <w:name w:val="caption"/>
    <w:basedOn w:val="Normal"/>
    <w:next w:val="Normal"/>
    <w:link w:val="CaptionChar"/>
    <w:uiPriority w:val="35"/>
    <w:qFormat/>
    <w:rsid w:val="00F00CF0"/>
    <w:pPr>
      <w:spacing w:after="0" w:line="240" w:lineRule="auto"/>
      <w:jc w:val="left"/>
    </w:pPr>
    <w:rPr>
      <w:rFonts w:eastAsia="Times"/>
      <w:b/>
      <w:szCs w:val="19"/>
      <w:lang w:val="en-US" w:eastAsia="ja-JP"/>
    </w:rPr>
  </w:style>
  <w:style w:type="paragraph" w:customStyle="1" w:styleId="NICEnormal">
    <w:name w:val="NICE normal"/>
    <w:basedOn w:val="Normal"/>
    <w:link w:val="NICEnormalChar"/>
    <w:rsid w:val="00F00CF0"/>
    <w:pPr>
      <w:spacing w:after="240"/>
      <w:jc w:val="left"/>
    </w:pPr>
    <w:rPr>
      <w:rFonts w:ascii="Arial" w:hAnsi="Arial"/>
      <w:sz w:val="24"/>
      <w:szCs w:val="24"/>
      <w:lang w:eastAsia="en-US"/>
    </w:rPr>
  </w:style>
  <w:style w:type="character" w:customStyle="1" w:styleId="CaptionChar">
    <w:name w:val="Caption Char"/>
    <w:link w:val="Caption"/>
    <w:uiPriority w:val="35"/>
    <w:rsid w:val="00F00CF0"/>
    <w:rPr>
      <w:rFonts w:ascii="Verdana" w:eastAsia="Times" w:hAnsi="Verdana" w:cs="Times New Roman"/>
      <w:b/>
      <w:sz w:val="19"/>
      <w:szCs w:val="19"/>
      <w:lang w:eastAsia="ja-JP"/>
    </w:rPr>
  </w:style>
  <w:style w:type="character" w:customStyle="1" w:styleId="NICEnormalChar">
    <w:name w:val="NICE normal Char"/>
    <w:link w:val="NICEnormal"/>
    <w:locked/>
    <w:rsid w:val="00F00CF0"/>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E23D12"/>
    <w:rPr>
      <w:sz w:val="16"/>
      <w:szCs w:val="16"/>
    </w:rPr>
  </w:style>
  <w:style w:type="paragraph" w:styleId="CommentText">
    <w:name w:val="annotation text"/>
    <w:basedOn w:val="Normal"/>
    <w:link w:val="CommentTextChar"/>
    <w:uiPriority w:val="99"/>
    <w:semiHidden/>
    <w:unhideWhenUsed/>
    <w:rsid w:val="00E23D12"/>
    <w:pPr>
      <w:spacing w:line="240" w:lineRule="auto"/>
    </w:pPr>
    <w:rPr>
      <w:sz w:val="20"/>
    </w:rPr>
  </w:style>
  <w:style w:type="character" w:customStyle="1" w:styleId="CommentTextChar">
    <w:name w:val="Comment Text Char"/>
    <w:basedOn w:val="DefaultParagraphFont"/>
    <w:link w:val="CommentText"/>
    <w:uiPriority w:val="99"/>
    <w:semiHidden/>
    <w:rsid w:val="00E23D12"/>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23D12"/>
    <w:rPr>
      <w:b/>
      <w:bCs/>
    </w:rPr>
  </w:style>
  <w:style w:type="character" w:customStyle="1" w:styleId="CommentSubjectChar">
    <w:name w:val="Comment Subject Char"/>
    <w:basedOn w:val="CommentTextChar"/>
    <w:link w:val="CommentSubject"/>
    <w:uiPriority w:val="99"/>
    <w:semiHidden/>
    <w:rsid w:val="00E23D12"/>
    <w:rPr>
      <w:rFonts w:ascii="Verdana" w:eastAsia="Times New Roman" w:hAnsi="Verdana" w:cs="Times New Roman"/>
      <w:b/>
      <w:bCs/>
      <w:sz w:val="20"/>
      <w:szCs w:val="20"/>
      <w:lang w:val="en-GB" w:eastAsia="en-GB"/>
    </w:rPr>
  </w:style>
  <w:style w:type="paragraph" w:styleId="BalloonText">
    <w:name w:val="Balloon Text"/>
    <w:basedOn w:val="Normal"/>
    <w:link w:val="BalloonTextChar"/>
    <w:uiPriority w:val="99"/>
    <w:semiHidden/>
    <w:unhideWhenUsed/>
    <w:rsid w:val="00E2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D1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Guyot</dc:creator>
  <cp:lastModifiedBy>Mishra, Jitendriya</cp:lastModifiedBy>
  <cp:revision>84</cp:revision>
  <dcterms:created xsi:type="dcterms:W3CDTF">2015-12-21T18:50:00Z</dcterms:created>
  <dcterms:modified xsi:type="dcterms:W3CDTF">2016-05-06T09:46:00Z</dcterms:modified>
</cp:coreProperties>
</file>